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4D40FD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2F2F2"/>
              </w:rPr>
              <w:t>DETERJAN VE PARLATICI DOZAJ POMPASI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4D40F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4D40FD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2C60E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</w:p>
    <w:p w:rsidR="004D40FD" w:rsidRDefault="004D40FD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sectPr w:rsidR="004D40FD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40FD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41AC7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90F3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www.w3.org/XML/1998/namespace"/>
    <ds:schemaRef ds:uri="7f42fa28-6966-49c7-b587-09809fb4d96a"/>
    <ds:schemaRef ds:uri="http://schemas.microsoft.com/office/2006/metadata/properties"/>
    <ds:schemaRef ds:uri="http://purl.org/dc/terms/"/>
    <ds:schemaRef ds:uri="http://purl.org/dc/dcmitype/"/>
    <ds:schemaRef ds:uri="60b50726-52a2-44b2-974c-090a28d5866d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2026-03-13T13:02:00Z</dcterms:created>
  <dcterms:modified xsi:type="dcterms:W3CDTF">2026-03-13T13:02:00Z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