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bookmarkStart w:id="0" w:name="_GoBack"/>
            <w:bookmarkEnd w:id="0"/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  <w:r w:rsidR="00001675" w:rsidRPr="000F0F23">
        <w:rPr>
          <w:rFonts w:ascii="Arial" w:hAnsi="Arial" w:cs="Arial"/>
          <w:b/>
          <w:i/>
          <w:sz w:val="16"/>
        </w:rPr>
        <w:t>Anaokulu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82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496"/>
        <w:gridCol w:w="1842"/>
        <w:gridCol w:w="709"/>
        <w:gridCol w:w="851"/>
        <w:gridCol w:w="2126"/>
        <w:gridCol w:w="2097"/>
      </w:tblGrid>
      <w:tr w:rsidR="00430A07" w:rsidRPr="000F0F23" w:rsidTr="00430A07">
        <w:trPr>
          <w:trHeight w:val="21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430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  <w:r w:rsidR="00430A07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430A07" w:rsidRPr="000F0F23" w:rsidTr="00430A07">
        <w:trPr>
          <w:trHeight w:val="26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383CF8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BB133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Soğuk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Kahve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black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BB133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430A07" w:rsidP="00383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BB133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33D" w:rsidRPr="000F0F23" w:rsidRDefault="00BB133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33D" w:rsidRPr="000F0F23" w:rsidRDefault="00BB133D" w:rsidP="00BB1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Soğuk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Kahve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mocha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430A07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33D" w:rsidRDefault="00BB133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Soğuk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Kahve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latte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430A07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33D" w:rsidRDefault="00BB133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Soğuk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Kahve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macchiato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430A07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33D" w:rsidRDefault="00BB133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Soğuk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Kahve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coconut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latte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430A07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33D" w:rsidRDefault="00BB133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33D" w:rsidRPr="000F0F23" w:rsidRDefault="00BB133D" w:rsidP="00BB13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Soğuk Çay Karpuz -Çilek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33D" w:rsidRPr="000F0F23" w:rsidRDefault="00BB133D" w:rsidP="00430A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24</w:t>
            </w:r>
            <w:r w:rsidR="00430A07">
              <w:rPr>
                <w:rFonts w:ascii="Arial" w:eastAsia="Times New Roman" w:hAnsi="Arial" w:cs="Arial"/>
                <w:color w:val="000000"/>
                <w:sz w:val="16"/>
              </w:rPr>
              <w:t>’lü 330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430A07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33D" w:rsidRPr="000F0F23" w:rsidRDefault="00BB133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14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100CEB">
              <w:rPr>
                <w:rFonts w:ascii="Arial" w:eastAsia="Times New Roman" w:hAnsi="Arial" w:cs="Arial"/>
                <w:color w:val="000000"/>
                <w:sz w:val="16"/>
              </w:rPr>
              <w:t xml:space="preserve">Soğuk </w:t>
            </w:r>
            <w:proofErr w:type="gramStart"/>
            <w:r w:rsidRPr="00100CEB">
              <w:rPr>
                <w:rFonts w:ascii="Arial" w:eastAsia="Times New Roman" w:hAnsi="Arial" w:cs="Arial"/>
                <w:color w:val="000000"/>
                <w:sz w:val="16"/>
              </w:rPr>
              <w:t xml:space="preserve">Çay 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Limon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2F6D6B">
              <w:rPr>
                <w:rFonts w:ascii="Arial" w:eastAsia="Times New Roman" w:hAnsi="Arial" w:cs="Arial"/>
                <w:color w:val="000000"/>
                <w:sz w:val="16"/>
              </w:rPr>
              <w:t>24’lü 330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13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100CEB">
              <w:rPr>
                <w:rFonts w:ascii="Arial" w:eastAsia="Times New Roman" w:hAnsi="Arial" w:cs="Arial"/>
                <w:color w:val="000000"/>
                <w:sz w:val="16"/>
              </w:rPr>
              <w:t>Soğuk Ça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>y Şeftali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2F6D6B">
              <w:rPr>
                <w:rFonts w:ascii="Arial" w:eastAsia="Times New Roman" w:hAnsi="Arial" w:cs="Arial"/>
                <w:color w:val="000000"/>
                <w:sz w:val="16"/>
              </w:rPr>
              <w:t>24’lü 330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3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100CEB">
              <w:rPr>
                <w:rFonts w:ascii="Arial" w:eastAsia="Times New Roman" w:hAnsi="Arial" w:cs="Arial"/>
                <w:color w:val="000000"/>
                <w:sz w:val="16"/>
              </w:rPr>
              <w:t xml:space="preserve">Soğuk Çay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Ananos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Mango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2F6D6B">
              <w:rPr>
                <w:rFonts w:ascii="Arial" w:eastAsia="Times New Roman" w:hAnsi="Arial" w:cs="Arial"/>
                <w:color w:val="000000"/>
                <w:sz w:val="16"/>
              </w:rPr>
              <w:t>24’lü 330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Meyve Suyu Şeftali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13FCC"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900853">
              <w:rPr>
                <w:rFonts w:ascii="Arial" w:eastAsia="Times New Roman" w:hAnsi="Arial" w:cs="Arial"/>
                <w:color w:val="000000"/>
                <w:sz w:val="16"/>
              </w:rPr>
              <w:t>Meyve Suyu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Portakal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13FCC"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900853">
              <w:rPr>
                <w:rFonts w:ascii="Arial" w:eastAsia="Times New Roman" w:hAnsi="Arial" w:cs="Arial"/>
                <w:color w:val="000000"/>
                <w:sz w:val="16"/>
              </w:rPr>
              <w:t>Meyve Suyu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Karışık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13FCC"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1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900853">
              <w:rPr>
                <w:rFonts w:ascii="Arial" w:eastAsia="Times New Roman" w:hAnsi="Arial" w:cs="Arial"/>
                <w:color w:val="000000"/>
                <w:sz w:val="16"/>
              </w:rPr>
              <w:t>Meyve Suyu</w:t>
            </w: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Vişne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13FCC"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Mineralli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Ornan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 Meyveli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13FCC"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15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Mineralli Kavun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13FCC"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Mineralli Armut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13FCC"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17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Mineralli Mandalina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13FCC"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18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Mineralli Yeşil Limon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13FCC">
              <w:rPr>
                <w:rFonts w:ascii="Arial" w:eastAsia="Times New Roman" w:hAnsi="Arial" w:cs="Arial"/>
                <w:color w:val="000000"/>
                <w:sz w:val="16"/>
              </w:rPr>
              <w:t>24’lü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 w:rsidP="00430A07">
            <w:pPr>
              <w:jc w:val="center"/>
            </w:pPr>
            <w:r w:rsidRPr="00467484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19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Gazlı İçecek kola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23DAC">
              <w:rPr>
                <w:rFonts w:ascii="Arial" w:eastAsia="Times New Roman" w:hAnsi="Arial" w:cs="Arial"/>
                <w:color w:val="000000"/>
                <w:sz w:val="16"/>
              </w:rPr>
              <w:t>24’lü 330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Gazlı içecek gazoz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23DAC">
              <w:rPr>
                <w:rFonts w:ascii="Arial" w:eastAsia="Times New Roman" w:hAnsi="Arial" w:cs="Arial"/>
                <w:color w:val="000000"/>
                <w:sz w:val="16"/>
              </w:rPr>
              <w:t>24’lü 330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2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Default="00430A07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A07" w:rsidRPr="000F0F23" w:rsidRDefault="00430A07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Gazlı İçecek Portakal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A07" w:rsidRDefault="00430A07">
            <w:r w:rsidRPr="00523DAC">
              <w:rPr>
                <w:rFonts w:ascii="Arial" w:eastAsia="Times New Roman" w:hAnsi="Arial" w:cs="Arial"/>
                <w:color w:val="000000"/>
                <w:sz w:val="16"/>
              </w:rPr>
              <w:t>24’lü 330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0A07" w:rsidRDefault="00430A07">
            <w:r w:rsidRPr="00BC2511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0A07" w:rsidRPr="000F0F23" w:rsidTr="00430A07">
        <w:trPr>
          <w:trHeight w:val="15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A07" w:rsidRPr="000F0F23" w:rsidRDefault="00430A07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07" w:rsidRPr="000F0F23" w:rsidRDefault="00430A07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A07" w:rsidRPr="000F0F23" w:rsidRDefault="00430A07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0D259D">
        <w:trPr>
          <w:trHeight w:val="888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430A07">
        <w:trPr>
          <w:trHeight w:val="114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lastRenderedPageBreak/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259D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83CF8"/>
    <w:rsid w:val="003917F2"/>
    <w:rsid w:val="003975EA"/>
    <w:rsid w:val="003A1BA4"/>
    <w:rsid w:val="003B214B"/>
    <w:rsid w:val="00400804"/>
    <w:rsid w:val="00407E36"/>
    <w:rsid w:val="00412DD6"/>
    <w:rsid w:val="00430A07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29D1"/>
    <w:rsid w:val="00606F8A"/>
    <w:rsid w:val="00616B5A"/>
    <w:rsid w:val="00617815"/>
    <w:rsid w:val="00624089"/>
    <w:rsid w:val="006569A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A72B4"/>
    <w:rsid w:val="009C3935"/>
    <w:rsid w:val="009E173A"/>
    <w:rsid w:val="009E21CE"/>
    <w:rsid w:val="009F28AC"/>
    <w:rsid w:val="00A125FA"/>
    <w:rsid w:val="00A13A3E"/>
    <w:rsid w:val="00A25311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17515"/>
    <w:rsid w:val="00B247DD"/>
    <w:rsid w:val="00B272C2"/>
    <w:rsid w:val="00B4643E"/>
    <w:rsid w:val="00B847DF"/>
    <w:rsid w:val="00B966B4"/>
    <w:rsid w:val="00B96E39"/>
    <w:rsid w:val="00BB133D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74D9D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DEF26-8E39-4903-ABB9-9F013ECC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3</cp:revision>
  <cp:lastPrinted>2020-12-16T08:30:00Z</cp:lastPrinted>
  <dcterms:created xsi:type="dcterms:W3CDTF">2026-01-25T11:23:00Z</dcterms:created>
  <dcterms:modified xsi:type="dcterms:W3CDTF">2026-01-26T09:22:00Z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