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2C60E2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HALKA TATLI</w:t>
            </w:r>
            <w:r w:rsidR="00F00EDA">
              <w:rPr>
                <w:rFonts w:ascii="Arial" w:eastAsia="Times New Roman" w:hAnsi="Arial" w:cs="Arial"/>
                <w:color w:val="000000"/>
                <w:sz w:val="16"/>
              </w:rPr>
              <w:t xml:space="preserve"> 120 GR.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2C60E2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2C60E2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2C60E2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2C60E2" w:rsidRDefault="002C60E2" w:rsidP="0002391A">
      <w:pPr>
        <w:jc w:val="both"/>
        <w:rPr>
          <w:rFonts w:ascii="Arial" w:hAnsi="Arial" w:cs="Arial"/>
          <w:sz w:val="16"/>
        </w:rPr>
      </w:pPr>
    </w:p>
    <w:p w:rsidR="002C60E2" w:rsidRDefault="00C14798" w:rsidP="002C60E2">
      <w:pPr>
        <w:rPr>
          <w:b/>
          <w:u w:val="single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2C60E2">
        <w:rPr>
          <w:b/>
          <w:u w:val="single"/>
        </w:rPr>
        <w:t xml:space="preserve">HALKA  </w:t>
      </w:r>
      <w:proofErr w:type="gramStart"/>
      <w:r w:rsidR="002C60E2" w:rsidRPr="00FB148D">
        <w:rPr>
          <w:b/>
          <w:u w:val="single"/>
        </w:rPr>
        <w:t>TATLISI :</w:t>
      </w:r>
      <w:proofErr w:type="gramEnd"/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Tatlıda kullanılacak un 1. Kalitede ve “Türk Gıda Kodeksi Yönetmeliği Buğday Unu Tebliğine” uygun olacaktır. Unlarda nemlenme ve nemlenmeye bağlı topaklanma olmayacaktır. İçerisine yabancı madde karışmış unlar olmayacaktır.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Orijinal ambalajında bulunan unlar kullanılacaktır.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Glüteni yaş iken açık renk ve elastik olacaktır.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Üretilen ürünlerde süt tozu kullanılmayacaktır.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Tatlıda kullanılacak yağlar 1. kalite ve mutlaka TSE belgeli olacaktır.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Kullanılan yağlar kendine özgü kokusunu tadını korumuş olmalı, yanmış yağ kokusu içermemeli, yabancı koku çekmemiş olmalıdır.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Hamur ve şurup yapımında kullanılan su içme suyu niteliğinde olacaktır.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Tatlılarda yalnızca “Türk Gıda Kodeksi Şeker Tebliğine” uygun beyaz şekerden üretilmiş şuruplar kullanılacaktır.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lastRenderedPageBreak/>
        <w:t xml:space="preserve">Glikoz şurubu, </w:t>
      </w:r>
      <w:proofErr w:type="spellStart"/>
      <w:r w:rsidRPr="00AA4D57">
        <w:t>glikozlu</w:t>
      </w:r>
      <w:proofErr w:type="spellEnd"/>
      <w:r w:rsidRPr="00AA4D57">
        <w:t xml:space="preserve"> tatlandırıcılar, </w:t>
      </w:r>
      <w:proofErr w:type="spellStart"/>
      <w:r w:rsidRPr="00AA4D57">
        <w:t>siklamat</w:t>
      </w:r>
      <w:proofErr w:type="spellEnd"/>
      <w:r w:rsidRPr="00AA4D57">
        <w:t xml:space="preserve">, sakarin, laktoz gibi yapay tatlandırıcılar kullanılmayacaktır.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Kullanılan yumurta taze olacaktır. </w:t>
      </w:r>
    </w:p>
    <w:p w:rsidR="00F00EDA" w:rsidRPr="00F00EDA" w:rsidRDefault="00F00EDA" w:rsidP="00F00EDA">
      <w:pPr>
        <w:pStyle w:val="ListeParagraf"/>
        <w:numPr>
          <w:ilvl w:val="0"/>
          <w:numId w:val="5"/>
        </w:numPr>
        <w:rPr>
          <w:rFonts w:ascii="Arial" w:eastAsia="Times New Roman" w:hAnsi="Arial" w:cs="Arial"/>
          <w:color w:val="000000"/>
          <w:sz w:val="20"/>
        </w:rPr>
      </w:pPr>
      <w:r w:rsidRPr="00F00EDA">
        <w:rPr>
          <w:rFonts w:ascii="Arial" w:eastAsia="Times New Roman" w:hAnsi="Arial" w:cs="Arial"/>
          <w:color w:val="000000"/>
          <w:sz w:val="20"/>
        </w:rPr>
        <w:t xml:space="preserve">1 </w:t>
      </w:r>
      <w:proofErr w:type="gramStart"/>
      <w:r w:rsidRPr="00F00EDA">
        <w:rPr>
          <w:rFonts w:ascii="Arial" w:eastAsia="Times New Roman" w:hAnsi="Arial" w:cs="Arial"/>
          <w:color w:val="000000"/>
          <w:sz w:val="20"/>
        </w:rPr>
        <w:t>Kiloda  20</w:t>
      </w:r>
      <w:proofErr w:type="gramEnd"/>
      <w:r w:rsidRPr="00F00EDA">
        <w:rPr>
          <w:rFonts w:ascii="Arial" w:eastAsia="Times New Roman" w:hAnsi="Arial" w:cs="Arial"/>
          <w:color w:val="000000"/>
          <w:sz w:val="20"/>
        </w:rPr>
        <w:t>-25 adet arası olmalıdır.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Tatlı için kullanılan yardımcı diğer malzemeler insan sağlığına uygun özelliklerde olacaktır.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Tatlılar homojen pişmiş, hamurlaşmamış, yanmamış, her tarafı eşit kalınlıkta, eşit büyüklükte kesilmiş, taze ve günlük hazırlanmış olacaktır.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Tatlılar şekerlenmemiş olacaktır.</w:t>
      </w:r>
    </w:p>
    <w:p w:rsidR="00BD27FD" w:rsidRPr="00AA4D57" w:rsidRDefault="00BD27FD" w:rsidP="00F00EDA">
      <w:pPr>
        <w:pStyle w:val="ListeParagraf"/>
        <w:numPr>
          <w:ilvl w:val="0"/>
          <w:numId w:val="5"/>
        </w:numPr>
      </w:pPr>
      <w:r>
        <w:t>Halka</w:t>
      </w:r>
      <w:r w:rsidRPr="00AA4D57">
        <w:t xml:space="preserve"> tatlısının porsiyon ölçüsü 1</w:t>
      </w:r>
      <w:r>
        <w:t>2</w:t>
      </w:r>
      <w:r w:rsidRPr="00AA4D57">
        <w:t xml:space="preserve">0g büyük boy </w:t>
      </w:r>
      <w:r>
        <w:t>halka tatlı olacaktır.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Ürünlerde kullanılan tüm hammaddelerin mikrobiyolojik ve kimyasal analiz raporları ürünle birlikte tarafımıza teslim edilecektir.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Yukarıda belirtilen koşullar göz önüne alınarak aşağıdaki miktarlara dikkat edilmesi mecburid</w:t>
      </w:r>
      <w:r w:rsidR="00BD27FD">
        <w:t>ir. Kurumumuz</w:t>
      </w:r>
      <w:r w:rsidRPr="00AA4D57">
        <w:t xml:space="preserve">a ürünler en geç </w:t>
      </w:r>
      <w:r w:rsidR="00BD27FD">
        <w:t xml:space="preserve">belirtilen tarihte </w:t>
      </w:r>
      <w:r w:rsidRPr="00AA4D57">
        <w:t xml:space="preserve">saat 09.00’a </w:t>
      </w:r>
      <w:r w:rsidR="00BD27FD">
        <w:t>kadar teslim edilmelidir.</w:t>
      </w:r>
    </w:p>
    <w:p w:rsidR="002C60E2" w:rsidRDefault="002C60E2" w:rsidP="002C60E2"/>
    <w:p w:rsidR="00560BDB" w:rsidRPr="000F0F23" w:rsidRDefault="00560BDB" w:rsidP="00F00EDA">
      <w:pPr>
        <w:ind w:firstLine="2130"/>
        <w:jc w:val="both"/>
        <w:rPr>
          <w:rFonts w:ascii="Arial" w:hAnsi="Arial" w:cs="Arial"/>
          <w:sz w:val="16"/>
        </w:rPr>
      </w:pP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60E2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0EDA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dcmitype/"/>
    <ds:schemaRef ds:uri="7f42fa28-6966-49c7-b587-09809fb4d96a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0b50726-52a2-44b2-974c-090a28d5866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5</cp:revision>
  <cp:lastPrinted>2020-12-16T08:30:00Z</cp:lastPrinted>
  <dcterms:created xsi:type="dcterms:W3CDTF">2026-02-20T09:36:00Z</dcterms:created>
  <dcterms:modified xsi:type="dcterms:W3CDTF">2026-02-20T11:03:00Z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