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60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2201"/>
        <w:gridCol w:w="709"/>
        <w:gridCol w:w="992"/>
        <w:gridCol w:w="1507"/>
        <w:gridCol w:w="1512"/>
      </w:tblGrid>
      <w:tr w:rsidR="005A5E3A" w:rsidRPr="000F0F23" w:rsidTr="00036FD5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Pr="000F0F23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İntraket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Mavi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Pr="000F0F23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 w:rsidRPr="004829F1">
              <w:t>İntraket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Sarı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 w:rsidRPr="004829F1">
              <w:t>İntraket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Pembe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4829F1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Endotracheal</w:t>
            </w:r>
            <w:proofErr w:type="spellEnd"/>
            <w:r>
              <w:t xml:space="preserve"> </w:t>
            </w:r>
            <w:proofErr w:type="spellStart"/>
            <w:r>
              <w:t>Tubes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Cuff</w:t>
            </w:r>
            <w:proofErr w:type="spellEnd"/>
            <w: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4,5mm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4829F1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Defibrilatör</w:t>
            </w:r>
            <w:proofErr w:type="spellEnd"/>
            <w:r>
              <w:t xml:space="preserve"> </w:t>
            </w:r>
            <w:proofErr w:type="spellStart"/>
            <w:r>
              <w:t>Ped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Yetişkin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 w:rsidRPr="004829F1">
              <w:t>Defibrilatör</w:t>
            </w:r>
            <w:proofErr w:type="spellEnd"/>
            <w:r w:rsidRPr="004829F1">
              <w:t xml:space="preserve"> </w:t>
            </w:r>
            <w:proofErr w:type="spellStart"/>
            <w:r w:rsidRPr="004829F1">
              <w:t>Ped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Pediatrik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Ambu</w:t>
            </w:r>
            <w:proofErr w:type="spellEnd"/>
            <w:r>
              <w:t xml:space="preserve"> Set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Yetişkin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Pamuk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 xml:space="preserve">1 </w:t>
            </w:r>
            <w:proofErr w:type="spellStart"/>
            <w:r>
              <w:t>Kg’luk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10 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Flaster</w:t>
            </w:r>
            <w:proofErr w:type="spellEnd"/>
            <w: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5cm*10m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Gazlı Bez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90 cm/100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Top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Enjeksiyon Bandı (Nokta 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100’lük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Eldiven Lateks Pudrasız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S/100’LÜK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61405B">
              <w:t>Eldiven</w:t>
            </w:r>
            <w:r>
              <w:t xml:space="preserve"> </w:t>
            </w:r>
            <w:r w:rsidRPr="0061405B">
              <w:t>Lateks Pudrasız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M</w:t>
            </w:r>
            <w:r w:rsidRPr="0061405B">
              <w:t>/100’LÜK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61405B">
              <w:t>Eldiven</w:t>
            </w:r>
            <w:r>
              <w:t xml:space="preserve"> </w:t>
            </w:r>
            <w:r w:rsidRPr="0061405B">
              <w:t>Lateks Pudrasız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L</w:t>
            </w:r>
            <w:r w:rsidRPr="0061405B">
              <w:t>/100’LÜK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Enjektör 5cc Yeşil Uçlu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180’lik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Enjektör Ucu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Yeşil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01113D"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3F2161">
              <w:t>Enjektör Ucu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Siyah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01113D"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3F2161" w:rsidRDefault="00036FD5" w:rsidP="00036FD5">
            <w:r w:rsidRPr="00C8625D">
              <w:t xml:space="preserve">Serum </w:t>
            </w:r>
            <w:proofErr w:type="spellStart"/>
            <w:r w:rsidRPr="00C8625D">
              <w:t>Infüzyon</w:t>
            </w:r>
            <w:proofErr w:type="spellEnd"/>
            <w:r w:rsidRPr="00C8625D">
              <w:t xml:space="preserve"> Seti</w:t>
            </w:r>
            <w:r>
              <w:t xml:space="preserve"> Steril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Default="00036FD5" w:rsidP="00036FD5">
            <w:r>
              <w:t>Tek Kullanımlık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01113D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3F2161" w:rsidRDefault="00036FD5" w:rsidP="00036FD5">
            <w:r w:rsidRPr="00804B0D">
              <w:t xml:space="preserve">Tıbbi Atıklar Kutusu Kovası Konteyneri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Default="00036FD5" w:rsidP="00036FD5">
            <w:r>
              <w:t>Turuncu/</w:t>
            </w:r>
            <w:r w:rsidRPr="00804B0D">
              <w:t xml:space="preserve">240 </w:t>
            </w:r>
            <w:proofErr w:type="spellStart"/>
            <w:r w:rsidRPr="00804B0D">
              <w:t>Lt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01113D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Dijital Tansiyon Aleti</w:t>
            </w:r>
            <w:r w:rsidRPr="00771BDF">
              <w:tab/>
            </w:r>
            <w:r w:rsidRPr="00771BDF">
              <w:tab/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 w:rsidRPr="00771BDF">
              <w:t>Dijital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Asetilsalikasit</w:t>
            </w:r>
            <w:proofErr w:type="spellEnd"/>
            <w:r>
              <w:t xml:space="preserve"> asit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300mg/</w:t>
            </w:r>
            <w:r w:rsidRPr="00C22CD3">
              <w:t>20 Tablet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Kortikosteroid</w:t>
            </w:r>
            <w:proofErr w:type="spellEnd"/>
            <w:r>
              <w:t xml:space="preserve"> Ampul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40mg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Methergine</w:t>
            </w:r>
            <w:proofErr w:type="spellEnd"/>
            <w:r>
              <w:t xml:space="preserve"> Ampul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0.2/mg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C22CD3"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P</w:t>
            </w:r>
            <w:r w:rsidRPr="002A0757">
              <w:t>olivinil</w:t>
            </w:r>
            <w:proofErr w:type="spellEnd"/>
            <w:r>
              <w:t xml:space="preserve"> </w:t>
            </w:r>
            <w:proofErr w:type="spellStart"/>
            <w:r>
              <w:t>Prolidire</w:t>
            </w:r>
            <w:proofErr w:type="spellEnd"/>
            <w:r>
              <w:t xml:space="preserve"> İyot Solüsyon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500cc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 xml:space="preserve">Atropin </w:t>
            </w:r>
            <w:proofErr w:type="spellStart"/>
            <w:r>
              <w:t>Sulfate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0,5 mg ampul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Dopamin</w:t>
            </w:r>
            <w:proofErr w:type="spellEnd"/>
            <w:r>
              <w:t xml:space="preserve"> </w:t>
            </w:r>
            <w:proofErr w:type="spellStart"/>
            <w:r>
              <w:t>Hidroklorül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200mg/5ml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Antihistaminik</w:t>
            </w:r>
            <w:proofErr w:type="spellEnd"/>
            <w:r>
              <w:t xml:space="preserve"> Ampul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45.5mg/2ml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Dextroz</w:t>
            </w:r>
            <w:proofErr w:type="spellEnd"/>
            <w:r>
              <w:t xml:space="preserve"> %5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500 cc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F25BF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NACL  %0,9’luk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500 cc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Anestol</w:t>
            </w:r>
            <w:proofErr w:type="spellEnd"/>
            <w:r>
              <w:t xml:space="preserve"> % 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 w:rsidRPr="00371F07">
              <w:t>Merhem/30g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Dikloron</w:t>
            </w:r>
            <w:proofErr w:type="spellEnd"/>
            <w:r>
              <w:t xml:space="preserve"> </w:t>
            </w:r>
            <w:r w:rsidRPr="00810668">
              <w:t>Tablet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100 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Fenistil</w:t>
            </w:r>
            <w:proofErr w:type="spellEnd"/>
            <w:r>
              <w:t xml:space="preserve"> Jel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Jel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Hitrizin</w:t>
            </w:r>
            <w:proofErr w:type="spellEnd"/>
            <w:r>
              <w:t xml:space="preserve"> Tablet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10 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 w:rsidRPr="00371F07"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Muscaril</w:t>
            </w:r>
            <w:proofErr w:type="spellEnd"/>
            <w:r>
              <w:t xml:space="preserve"> Tablet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4 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Diazepam</w:t>
            </w:r>
            <w:proofErr w:type="spellEnd"/>
            <w:r>
              <w:t xml:space="preserve"> Ampul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10mg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Bactroban</w:t>
            </w:r>
            <w:proofErr w:type="spellEnd"/>
            <w:r>
              <w:t xml:space="preserve"> Merhem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%2 15g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Rennie</w:t>
            </w:r>
            <w:proofErr w:type="spellEnd"/>
            <w:r>
              <w:t xml:space="preserve"> Çiğneme Tableti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680mg/80mg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proofErr w:type="spellStart"/>
            <w:r>
              <w:t>Parol</w:t>
            </w:r>
            <w:proofErr w:type="spellEnd"/>
            <w:r>
              <w:t xml:space="preserve"> 500mg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Pr="00FA0709" w:rsidRDefault="00036FD5" w:rsidP="00036FD5">
            <w:r>
              <w:t>Tablet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Pr="00FA0709" w:rsidRDefault="00036FD5" w:rsidP="00036FD5"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 xml:space="preserve">RIF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Default="00036FD5" w:rsidP="00036FD5">
            <w:r>
              <w:t>250mg/Ampul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 xml:space="preserve">Etil Alkol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Default="00036FD5" w:rsidP="00036FD5">
            <w:r>
              <w:t>1 Litre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Sterilizasyon Rulosu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D5" w:rsidRDefault="00036FD5" w:rsidP="00036FD5">
            <w:r>
              <w:t>10cm*200m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r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/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/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/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FD5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/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FD5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FD5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36FD5" w:rsidRPr="000F0F23" w:rsidTr="00036FD5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FD5" w:rsidRPr="000F0F23" w:rsidRDefault="00036FD5" w:rsidP="00036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D5" w:rsidRPr="000F0F23" w:rsidRDefault="00036FD5" w:rsidP="0003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D5" w:rsidRPr="000F0F23" w:rsidRDefault="00036FD5" w:rsidP="00036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Pr="00036FD5" w:rsidRDefault="00036FD5" w:rsidP="000239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FD5" w:rsidRPr="00036FD5" w:rsidRDefault="00036FD5" w:rsidP="000239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FD5" w:rsidRPr="00036FD5" w:rsidRDefault="00036FD5" w:rsidP="00036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TEKNİK ŞARTNAME</w:t>
      </w:r>
    </w:p>
    <w:p w:rsidR="00036FD5" w:rsidRPr="00036FD5" w:rsidRDefault="00036FD5" w:rsidP="00023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23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C14798" w:rsidP="00036FD5">
      <w:pPr>
        <w:pStyle w:val="ListeParagraf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ab/>
      </w:r>
      <w:r w:rsidRPr="00036FD5">
        <w:rPr>
          <w:rFonts w:ascii="Times New Roman" w:hAnsi="Times New Roman" w:cs="Times New Roman"/>
          <w:sz w:val="24"/>
          <w:szCs w:val="24"/>
        </w:rPr>
        <w:tab/>
      </w:r>
      <w:r w:rsidR="00793E1C" w:rsidRPr="00036FD5">
        <w:rPr>
          <w:rFonts w:ascii="Times New Roman" w:hAnsi="Times New Roman" w:cs="Times New Roman"/>
          <w:sz w:val="24"/>
          <w:szCs w:val="24"/>
        </w:rPr>
        <w:tab/>
      </w:r>
      <w:r w:rsidR="00793E1C" w:rsidRPr="00036FD5">
        <w:rPr>
          <w:rFonts w:ascii="Times New Roman" w:hAnsi="Times New Roman" w:cs="Times New Roman"/>
          <w:sz w:val="24"/>
          <w:szCs w:val="24"/>
        </w:rPr>
        <w:tab/>
      </w:r>
      <w:r w:rsidR="00793E1C" w:rsidRPr="00036FD5">
        <w:rPr>
          <w:rFonts w:ascii="Times New Roman" w:hAnsi="Times New Roman" w:cs="Times New Roman"/>
          <w:sz w:val="24"/>
          <w:szCs w:val="24"/>
        </w:rPr>
        <w:tab/>
      </w:r>
      <w:r w:rsidR="00036FD5" w:rsidRPr="00036FD5">
        <w:rPr>
          <w:rFonts w:ascii="Times New Roman" w:hAnsi="Times New Roman" w:cs="Times New Roman"/>
          <w:b/>
          <w:sz w:val="24"/>
          <w:szCs w:val="24"/>
        </w:rPr>
        <w:t>Etil Alkol Teknik Özellikleri</w:t>
      </w:r>
    </w:p>
    <w:p w:rsidR="00036FD5" w:rsidRPr="00036FD5" w:rsidRDefault="00036FD5" w:rsidP="00036FD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C₂H₂OH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CAS No: 64-17-5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EC No: 200-578-6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EK I Endeks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No : 603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-002-00-5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Fiziksel Bilgi: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Görünümü: Renksiz sıvı.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Erime Noktası: -144°C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Kaynama Noktası: 78°C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Özgül Ağırlık: 0,789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Buhar Basıncı: 1.59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Parlama Noktası: 14 °C (kapalı kap)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Patlama Limitleri: 3.3% - 24.5%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Kendiliğinden Tutuşma Derecesi: 363 °C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Suda Çözülüm: Her oranda karışabilir.</w:t>
      </w:r>
    </w:p>
    <w:p w:rsidR="00036FD5" w:rsidRPr="00036FD5" w:rsidRDefault="00036FD5" w:rsidP="00036FD5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Etil alkol konulan bidonlar1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lt’lik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sert tıbbi alkol için uygun plastikten yapılmış olmalı, delinmeye ve patlamaya yatkın olmamalı ve sızdırmamalıdır.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2. </w:t>
      </w:r>
      <w:r w:rsidRPr="00036FD5">
        <w:rPr>
          <w:rFonts w:ascii="Times New Roman" w:hAnsi="Times New Roman" w:cs="Times New Roman"/>
          <w:sz w:val="24"/>
          <w:szCs w:val="24"/>
        </w:rPr>
        <w:tab/>
      </w:r>
      <w:r w:rsidRPr="00036FD5">
        <w:rPr>
          <w:rFonts w:ascii="Times New Roman" w:hAnsi="Times New Roman" w:cs="Times New Roman"/>
          <w:b/>
          <w:sz w:val="24"/>
          <w:szCs w:val="24"/>
        </w:rPr>
        <w:t>Sterilizasyon rulosu 10cm/200m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Sterilizasyon ruloları malzemelerin sterilizasyon sırasında poşetlerin içerisinde </w:t>
      </w:r>
      <w:proofErr w:type="gramStart"/>
      <w:r w:rsidRPr="00036FD5">
        <w:rPr>
          <w:rFonts w:ascii="Times New Roman" w:eastAsia="Times New Roman" w:hAnsi="Times New Roman" w:cs="Times New Roman"/>
          <w:sz w:val="24"/>
          <w:szCs w:val="24"/>
        </w:rPr>
        <w:t>steril</w:t>
      </w:r>
      <w:proofErr w:type="gram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olmasını ve steril olarak saklanmasını sağlayan poşet içerisine hiçbir mikroorganizmanın girmesine izin vermeyen ürün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Sterilizasyon ruloları medikal kağıt ve </w:t>
      </w:r>
      <w:proofErr w:type="spellStart"/>
      <w:proofErr w:type="gramStart"/>
      <w:r w:rsidRPr="00036FD5">
        <w:rPr>
          <w:rFonts w:ascii="Times New Roman" w:eastAsia="Times New Roman" w:hAnsi="Times New Roman" w:cs="Times New Roman"/>
          <w:sz w:val="24"/>
          <w:szCs w:val="24"/>
        </w:rPr>
        <w:t>pl:T</w:t>
      </w:r>
      <w:proofErr w:type="spellEnd"/>
      <w:proofErr w:type="gramEnd"/>
      <w:r w:rsidRPr="00036FD5">
        <w:rPr>
          <w:rFonts w:ascii="Times New Roman" w:eastAsia="Times New Roman" w:hAnsi="Times New Roman" w:cs="Times New Roman"/>
          <w:sz w:val="24"/>
          <w:szCs w:val="24"/>
        </w:rPr>
        <w:t>/pe’den oluşan çok katmanlı filmden oluşması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Sterilizasyon rulolarının kenarlarında bulunan işlem </w:t>
      </w:r>
      <w:proofErr w:type="gramStart"/>
      <w:r w:rsidRPr="00036FD5">
        <w:rPr>
          <w:rFonts w:ascii="Times New Roman" w:eastAsia="Times New Roman" w:hAnsi="Times New Roman" w:cs="Times New Roman"/>
          <w:sz w:val="24"/>
          <w:szCs w:val="24"/>
        </w:rPr>
        <w:t>indikatörleri</w:t>
      </w:r>
      <w:proofErr w:type="gram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su bazlı olup </w:t>
      </w:r>
      <w:proofErr w:type="spellStart"/>
      <w:r w:rsidRPr="00036FD5">
        <w:rPr>
          <w:rFonts w:ascii="Times New Roman" w:eastAsia="Times New Roman" w:hAnsi="Times New Roman" w:cs="Times New Roman"/>
          <w:sz w:val="24"/>
          <w:szCs w:val="24"/>
        </w:rPr>
        <w:t>ıso</w:t>
      </w:r>
      <w:proofErr w:type="spell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11140 belgesine sahip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Sterilizasyon rulolarımız </w:t>
      </w:r>
      <w:proofErr w:type="spellStart"/>
      <w:r w:rsidRPr="00036FD5">
        <w:rPr>
          <w:rFonts w:ascii="Times New Roman" w:eastAsia="Times New Roman" w:hAnsi="Times New Roman" w:cs="Times New Roman"/>
          <w:sz w:val="24"/>
          <w:szCs w:val="24"/>
        </w:rPr>
        <w:t>ıso</w:t>
      </w:r>
      <w:proofErr w:type="spell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11607 standartlarını karşılayan ürünler olup, en yüksek kalite ve son teknoloji ile üretilmesi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>Maksimum güvenlik sağlar.</w:t>
      </w:r>
      <w:bookmarkStart w:id="0" w:name="_GoBack"/>
      <w:bookmarkEnd w:id="0"/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Bütün baskılar, ürüne pigment </w:t>
      </w:r>
      <w:proofErr w:type="spellStart"/>
      <w:r w:rsidRPr="00036FD5">
        <w:rPr>
          <w:rFonts w:ascii="Times New Roman" w:eastAsia="Times New Roman" w:hAnsi="Times New Roman" w:cs="Times New Roman"/>
          <w:sz w:val="24"/>
          <w:szCs w:val="24"/>
        </w:rPr>
        <w:t>migrasyonu</w:t>
      </w:r>
      <w:proofErr w:type="spell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riskini engellemek için paketleme alanı dışına yerleştirilmiştir.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>Açılırken yırtılma riskini elemine eden güçlendirilmiş film.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Üstün bariyer özellikte ve kalitede 60gsm ya da 70gsm </w:t>
      </w:r>
      <w:proofErr w:type="spellStart"/>
      <w:r w:rsidRPr="00036FD5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FD5">
        <w:rPr>
          <w:rFonts w:ascii="Times New Roman" w:eastAsia="Times New Roman" w:hAnsi="Times New Roman" w:cs="Times New Roman"/>
          <w:sz w:val="24"/>
          <w:szCs w:val="24"/>
        </w:rPr>
        <w:t>kraft</w:t>
      </w:r>
      <w:proofErr w:type="spell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kâğıt.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6FD5">
        <w:rPr>
          <w:rFonts w:ascii="Times New Roman" w:eastAsia="Times New Roman" w:hAnsi="Times New Roman" w:cs="Times New Roman"/>
          <w:sz w:val="24"/>
          <w:szCs w:val="24"/>
        </w:rPr>
        <w:t>Toksik</w:t>
      </w:r>
      <w:proofErr w:type="spell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olmayan, su </w:t>
      </w:r>
      <w:proofErr w:type="gramStart"/>
      <w:r w:rsidRPr="00036FD5">
        <w:rPr>
          <w:rFonts w:ascii="Times New Roman" w:eastAsia="Times New Roman" w:hAnsi="Times New Roman" w:cs="Times New Roman"/>
          <w:sz w:val="24"/>
          <w:szCs w:val="24"/>
        </w:rPr>
        <w:t>bazlı</w:t>
      </w:r>
      <w:proofErr w:type="gram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kesin işlem indikatörler.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Arzu edildiği takdirde </w:t>
      </w:r>
      <w:proofErr w:type="spellStart"/>
      <w:r w:rsidRPr="00036FD5">
        <w:rPr>
          <w:rFonts w:ascii="Times New Roman" w:eastAsia="Times New Roman" w:hAnsi="Times New Roman" w:cs="Times New Roman"/>
          <w:sz w:val="24"/>
          <w:szCs w:val="24"/>
        </w:rPr>
        <w:t>formoldehit</w:t>
      </w:r>
      <w:proofErr w:type="spell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6FD5">
        <w:rPr>
          <w:rFonts w:ascii="Times New Roman" w:eastAsia="Times New Roman" w:hAnsi="Times New Roman" w:cs="Times New Roman"/>
          <w:sz w:val="24"/>
          <w:szCs w:val="24"/>
        </w:rPr>
        <w:t>indikatörü</w:t>
      </w:r>
      <w:proofErr w:type="gram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de uygulanabilir.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>Güçlü kenar kaynak ve görünür yapışma kanalları.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Temiz açılır, kağıttan </w:t>
      </w:r>
      <w:proofErr w:type="gramStart"/>
      <w:r w:rsidRPr="00036FD5">
        <w:rPr>
          <w:rFonts w:ascii="Times New Roman" w:eastAsia="Times New Roman" w:hAnsi="Times New Roman" w:cs="Times New Roman"/>
          <w:sz w:val="24"/>
          <w:szCs w:val="24"/>
        </w:rPr>
        <w:t>partikül</w:t>
      </w:r>
      <w:proofErr w:type="gramEnd"/>
      <w:r w:rsidRPr="00036FD5">
        <w:rPr>
          <w:rFonts w:ascii="Times New Roman" w:eastAsia="Times New Roman" w:hAnsi="Times New Roman" w:cs="Times New Roman"/>
          <w:sz w:val="24"/>
          <w:szCs w:val="24"/>
        </w:rPr>
        <w:t xml:space="preserve"> koparmaz.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sz w:val="24"/>
          <w:szCs w:val="24"/>
        </w:rPr>
        <w:t>Açma yönü işaretlidir.</w:t>
      </w:r>
    </w:p>
    <w:p w:rsidR="00036FD5" w:rsidRPr="00036FD5" w:rsidRDefault="00036FD5" w:rsidP="00036FD5">
      <w:pPr>
        <w:numPr>
          <w:ilvl w:val="0"/>
          <w:numId w:val="7"/>
        </w:numPr>
        <w:spacing w:before="75" w:after="75" w:line="242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En 868-5 standardına uygundur.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spacing w:before="100" w:beforeAutospacing="1" w:after="100" w:afterAutospacing="1" w:line="315" w:lineRule="atLeast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spacing w:before="100" w:beforeAutospacing="1" w:after="100" w:afterAutospacing="1" w:line="315" w:lineRule="atLeast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3.</w:t>
      </w:r>
      <w:r w:rsidRPr="00036FD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Tıbbi Atık Çöp Konteyneri 240 Litre(Turuncu)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 hacmi 240  litre olacaktır.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Yüksek yoğunluklu polietilenden imal edilecektir.(HDPE)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Konteynerler kolay taşınabilir olacaktır.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Konteynerın</w:t>
      </w:r>
      <w:proofErr w:type="spellEnd"/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et kalınlığı 4 mm (+/-0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2 mm)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boş ağırlığı en az 13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7(+/-%5)  kg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çöp alma kapasitesi en 96 kg olacaktır.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UV ışınlarına dayanıklı olacaktır.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Kullanılan boyanın ışık hassasiyeti yüksek olacak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güneş ışığında solma/renk değişimi yapmayacaktır.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Konteynerlerde 2 adet tekerlek olup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 xml:space="preserve">tekerlek gövdeleri </w:t>
      </w:r>
      <w:proofErr w:type="spellStart"/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polipropilen</w:t>
      </w:r>
      <w:proofErr w:type="spellEnd"/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olacak ve üzerindeki lastikler her türlü hava şartına dayanıklı malzemeden üretilecektir.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Tekerlek aks mili galvaniz kaplı dolu malzeme olacaktır.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Konteynerler koku yapmaz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kolay temizlenme özelliğine sahip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güneş ısısından etkilenmeyecek malzemeden imal edilecek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alkol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maya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sirke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tuz ruhu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asit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amonyak  vb. aşındırıcı kimyasal maddelerden etkilenmeyecektir.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Konteynerin üzerinde bulunan metal parça galvanizle kaplanacaktır.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 şok etkilere dayanıklı olacak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şok etkiler hiçbir şekilde deformasyon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ölçü ve diğer özelliklerde değişikliğe sebep olmayacaktır.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 gövdesi düşmeye karşı dayanıklı olacak. Sızma</w:t>
      </w: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  <w:t>çatlama ve yarılma gözlemlenmeyecek.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Konteyner tekerlekleri 200 mm çapında olacaktır.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Tekerleklerin taşıma kapasitesi en az 150 kg olacaktır.</w:t>
      </w:r>
    </w:p>
    <w:p w:rsidR="00036FD5" w:rsidRPr="00036FD5" w:rsidRDefault="00036FD5" w:rsidP="00036FD5">
      <w:pPr>
        <w:numPr>
          <w:ilvl w:val="0"/>
          <w:numId w:val="8"/>
        </w:numPr>
        <w:spacing w:before="100" w:beforeAutospacing="1" w:after="75" w:line="315" w:lineRule="atLeas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FD5">
        <w:rPr>
          <w:rFonts w:ascii="Times New Roman" w:eastAsia="Times New Roman" w:hAnsi="Times New Roman" w:cs="Times New Roman"/>
          <w:color w:val="242424"/>
          <w:sz w:val="24"/>
          <w:szCs w:val="24"/>
        </w:rPr>
        <w:t>Yukarıda verilen ölçüler yaklaşık değerler olup ölçülerde +/- %5 sapma olabilir.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4. DİJİTAL TANSİYON ALETİ ÖZELLİKLERİ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Üst Koldan Ölçer Tansiyon Aleti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Tansiyon ölçümünüzden kolayca doğru sonuç alabilmenizi sağlayan Akıllı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Manşet’e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sahip. Tansiyon ölçümü sırasında, düzensiz kalp atışı tespiti yapabilir. Ayrıca, 2 farklı kullanıcı için tansiyon ölçüm sonuçlarını depolayabilir ve bireysel olarak kendi ölçüm sonuçlarınızı ve gidişatınızı takip etmenize olanak sağlamalı.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Teknik özellikler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Cihaz Tipi: Üst Koldan Ölçer Tansiyon Aleti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Kolluk Tipi: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Intelli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Wrap Kolluk 22–42 cm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Hafıza:2 Kullanıcı x 60 Okuma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Kolluk Sarma Kılavuzu: Evet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Kullanımı Kolay Yüksek Kan Basıncı Renkli Göstergesi: Evet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Düzensiz Kalp Atışı Algılama: Evet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Vücut Hareketi Algılama: Evet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Doğrulama: Klinik Doğrulama, Diyabet Doğrulaması, Gebelik Doğrulaması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6FD5">
        <w:rPr>
          <w:rFonts w:ascii="Times New Roman" w:hAnsi="Times New Roman" w:cs="Times New Roman"/>
          <w:sz w:val="24"/>
          <w:szCs w:val="24"/>
        </w:rPr>
        <w:t>Intellisense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Teknolojisi: Evet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Saklama Kutusu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: Evet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Tüketici veya Uzman: Tüketici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6FD5">
        <w:rPr>
          <w:rFonts w:ascii="Times New Roman" w:hAnsi="Times New Roman" w:cs="Times New Roman"/>
          <w:sz w:val="24"/>
          <w:szCs w:val="24"/>
        </w:rPr>
        <w:t>Težina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(kg):0,34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Öğe boyutları (mm):105 x 152 x 85</w:t>
      </w: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rPr>
          <w:rFonts w:ascii="Times New Roman" w:hAnsi="Times New Roman" w:cs="Times New Roman"/>
          <w:sz w:val="24"/>
          <w:szCs w:val="24"/>
        </w:rPr>
      </w:pPr>
    </w:p>
    <w:p w:rsidR="00560BDB" w:rsidRPr="00036FD5" w:rsidRDefault="00560BDB" w:rsidP="000239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BDB" w:rsidRPr="00036FD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1C0"/>
    <w:multiLevelType w:val="hybridMultilevel"/>
    <w:tmpl w:val="12743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23D9"/>
    <w:multiLevelType w:val="multilevel"/>
    <w:tmpl w:val="D70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F2215"/>
    <w:multiLevelType w:val="hybridMultilevel"/>
    <w:tmpl w:val="817CF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635E"/>
    <w:multiLevelType w:val="multilevel"/>
    <w:tmpl w:val="C116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36FD5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B15A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D494"/>
  <w15:docId w15:val="{6DE7496C-3051-4BDC-B177-17D32415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60b50726-52a2-44b2-974c-090a28d5866d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f42fa28-6966-49c7-b587-09809fb4d96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2026-03-12T06:27:00Z</dcterms:created>
  <dcterms:modified xsi:type="dcterms:W3CDTF">2026-03-12T06:27:00Z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