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662A16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0017D464" w:rsidR="00885B19" w:rsidRPr="00F35A95" w:rsidRDefault="00696A26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PEPSİ MAX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625534CD" w:rsidR="00885B19" w:rsidRPr="00F35A95" w:rsidRDefault="00696A26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330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5BC83C7A" w:rsidR="00885B19" w:rsidRPr="00F35A95" w:rsidRDefault="00696A26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2CEB8AD8" w:rsidR="00885B19" w:rsidRPr="00F35A95" w:rsidRDefault="00696A26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5D17F1DA" w:rsidR="00366395" w:rsidRPr="00F35A95" w:rsidRDefault="00696A2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YEDİGÜN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58AAD487" w:rsidR="00366395" w:rsidRPr="00F35A95" w:rsidRDefault="00696A2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330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45D6C947" w:rsidR="00366395" w:rsidRPr="00F35A95" w:rsidRDefault="00696A2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1AD4A722" w:rsidR="00366395" w:rsidRPr="00F35A95" w:rsidRDefault="00696A26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1CA14A80" w:rsidR="00366395" w:rsidRPr="00F35A95" w:rsidRDefault="00696A2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SEVENUP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67E4321C" w:rsidR="00366395" w:rsidRPr="00F35A95" w:rsidRDefault="00696A2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330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6AE820DB" w:rsidR="00366395" w:rsidRPr="00F35A95" w:rsidRDefault="00696A2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3566A0E" w:rsidR="00366395" w:rsidRPr="00F35A95" w:rsidRDefault="00696A26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04985DB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60FA43B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4439E87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7F658245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3006D32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7F63BAEB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7169B578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699E1A7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21D24" w:rsidRPr="009231F0" w14:paraId="5CC652DA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7ABE6" w14:textId="77777777" w:rsidR="00721D24" w:rsidRPr="00366395" w:rsidRDefault="00721D24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A6142" w14:textId="6CA927D4" w:rsidR="00721D24" w:rsidRPr="00294D78" w:rsidRDefault="00721D2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1FE7D" w14:textId="77777777" w:rsidR="00721D24" w:rsidRPr="00F35A95" w:rsidRDefault="00721D2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CCF43" w14:textId="77777777" w:rsidR="00721D24" w:rsidRPr="00F35A95" w:rsidRDefault="00721D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80C9C" w14:textId="77777777" w:rsidR="00721D24" w:rsidRPr="00F35A95" w:rsidRDefault="00721D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8C39D" w14:textId="77777777" w:rsidR="00721D24" w:rsidRPr="00F35A95" w:rsidRDefault="00721D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5637C" w14:textId="77777777" w:rsidR="00721D24" w:rsidRPr="009231F0" w:rsidRDefault="00721D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2D508AC6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2CCF56BC" w:rsidR="00366395" w:rsidRPr="00F35A95" w:rsidRDefault="00294D7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5ACBBFD9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3C31BA7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66341BEF" w:rsidR="00AE3BC1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598FF4A6" w14:textId="77777777" w:rsidR="00AE3BC1" w:rsidRPr="00AE3BC1" w:rsidRDefault="00AE3BC1" w:rsidP="00AE3BC1">
      <w:pPr>
        <w:rPr>
          <w:rFonts w:ascii="Arial" w:hAnsi="Arial" w:cs="Arial"/>
        </w:rPr>
      </w:pPr>
    </w:p>
    <w:p w14:paraId="38E08858" w14:textId="77777777" w:rsidR="00AE3BC1" w:rsidRPr="00AE3BC1" w:rsidRDefault="00AE3BC1" w:rsidP="00AE3BC1">
      <w:pPr>
        <w:rPr>
          <w:rFonts w:ascii="Arial" w:hAnsi="Arial" w:cs="Arial"/>
        </w:rPr>
      </w:pPr>
    </w:p>
    <w:p w14:paraId="3CBF303B" w14:textId="0DAA1D3B" w:rsidR="00AE3BC1" w:rsidRDefault="00AE3BC1" w:rsidP="00AE3BC1">
      <w:pPr>
        <w:ind w:firstLine="708"/>
        <w:rPr>
          <w:rFonts w:ascii="Arial" w:hAnsi="Arial" w:cs="Arial"/>
        </w:rPr>
      </w:pPr>
    </w:p>
    <w:p w14:paraId="52301316" w14:textId="195904BE" w:rsidR="00AE3BC1" w:rsidRDefault="00AE3BC1" w:rsidP="00AE3BC1">
      <w:pPr>
        <w:ind w:firstLine="708"/>
        <w:rPr>
          <w:rFonts w:ascii="Arial" w:hAnsi="Arial" w:cs="Arial"/>
        </w:rPr>
      </w:pPr>
    </w:p>
    <w:p w14:paraId="0717A706" w14:textId="316F34EC" w:rsidR="00AE3BC1" w:rsidRDefault="00AE3BC1" w:rsidP="00AE3BC1">
      <w:pPr>
        <w:ind w:firstLine="708"/>
        <w:rPr>
          <w:rFonts w:ascii="Arial" w:hAnsi="Arial" w:cs="Arial"/>
        </w:rPr>
      </w:pPr>
    </w:p>
    <w:p w14:paraId="124E0DDD" w14:textId="57769FBD" w:rsidR="00AE3BC1" w:rsidRDefault="00AE3BC1" w:rsidP="00AE3BC1">
      <w:pPr>
        <w:ind w:firstLine="708"/>
        <w:rPr>
          <w:rFonts w:ascii="Arial" w:hAnsi="Arial" w:cs="Arial"/>
        </w:rPr>
      </w:pPr>
    </w:p>
    <w:p w14:paraId="7CDB084C" w14:textId="79DA485D" w:rsidR="00AE3BC1" w:rsidRDefault="00AE3BC1" w:rsidP="00AE3BC1">
      <w:pPr>
        <w:ind w:firstLine="708"/>
        <w:rPr>
          <w:rFonts w:ascii="Arial" w:hAnsi="Arial" w:cs="Arial"/>
        </w:rPr>
      </w:pPr>
    </w:p>
    <w:p w14:paraId="46170242" w14:textId="7BBE7C28" w:rsidR="00AE3BC1" w:rsidRDefault="00AE3BC1" w:rsidP="00AE3BC1">
      <w:pPr>
        <w:ind w:firstLine="708"/>
        <w:rPr>
          <w:rFonts w:ascii="Arial" w:hAnsi="Arial" w:cs="Arial"/>
        </w:rPr>
      </w:pPr>
    </w:p>
    <w:p w14:paraId="55AE1719" w14:textId="12B8EAA2" w:rsidR="00AE3BC1" w:rsidRDefault="00AE3BC1" w:rsidP="00AE3BC1">
      <w:pPr>
        <w:ind w:firstLine="708"/>
        <w:rPr>
          <w:rFonts w:ascii="Arial" w:hAnsi="Arial" w:cs="Arial"/>
        </w:rPr>
      </w:pPr>
    </w:p>
    <w:p w14:paraId="5B0E0671" w14:textId="441A02BB" w:rsidR="00AE3BC1" w:rsidRDefault="00AE3BC1" w:rsidP="00AE3BC1">
      <w:pPr>
        <w:ind w:firstLine="708"/>
        <w:rPr>
          <w:rFonts w:ascii="Arial" w:hAnsi="Arial" w:cs="Arial"/>
        </w:rPr>
      </w:pPr>
    </w:p>
    <w:p w14:paraId="34E78611" w14:textId="310F149E" w:rsidR="00AE3BC1" w:rsidRDefault="00AE3BC1" w:rsidP="00AE3BC1">
      <w:pPr>
        <w:ind w:firstLine="708"/>
        <w:rPr>
          <w:rFonts w:ascii="Arial" w:hAnsi="Arial" w:cs="Arial"/>
        </w:rPr>
      </w:pPr>
    </w:p>
    <w:p w14:paraId="2A96AE18" w14:textId="123AD960" w:rsidR="009C79E2" w:rsidRDefault="009C79E2" w:rsidP="00AE3BC1">
      <w:pPr>
        <w:ind w:firstLine="708"/>
        <w:rPr>
          <w:rFonts w:ascii="Arial" w:hAnsi="Arial" w:cs="Arial"/>
        </w:rPr>
      </w:pPr>
    </w:p>
    <w:p w14:paraId="41E43A84" w14:textId="77777777" w:rsidR="009C79E2" w:rsidRPr="009C79E2" w:rsidRDefault="009C79E2" w:rsidP="009C79E2">
      <w:pPr>
        <w:rPr>
          <w:rFonts w:ascii="Arial" w:hAnsi="Arial" w:cs="Arial"/>
        </w:rPr>
      </w:pPr>
    </w:p>
    <w:p w14:paraId="4F0EE2FF" w14:textId="77777777" w:rsidR="009C79E2" w:rsidRPr="009C79E2" w:rsidRDefault="009C79E2" w:rsidP="009C79E2">
      <w:pPr>
        <w:rPr>
          <w:rFonts w:ascii="Arial" w:hAnsi="Arial" w:cs="Arial"/>
        </w:rPr>
      </w:pPr>
    </w:p>
    <w:p w14:paraId="3D7BA8AB" w14:textId="77777777" w:rsidR="009C79E2" w:rsidRPr="009C79E2" w:rsidRDefault="009C79E2" w:rsidP="009C79E2">
      <w:pPr>
        <w:rPr>
          <w:rFonts w:ascii="Arial" w:hAnsi="Arial" w:cs="Arial"/>
        </w:rPr>
      </w:pPr>
    </w:p>
    <w:p w14:paraId="1477AC1D" w14:textId="77777777" w:rsidR="009C79E2" w:rsidRPr="009C79E2" w:rsidRDefault="009C79E2" w:rsidP="009C79E2">
      <w:pPr>
        <w:rPr>
          <w:rFonts w:ascii="Arial" w:hAnsi="Arial" w:cs="Arial"/>
        </w:rPr>
      </w:pPr>
    </w:p>
    <w:p w14:paraId="3B96431F" w14:textId="77777777" w:rsidR="009C79E2" w:rsidRPr="009C79E2" w:rsidRDefault="009C79E2" w:rsidP="009C79E2">
      <w:pPr>
        <w:rPr>
          <w:rFonts w:ascii="Arial" w:hAnsi="Arial" w:cs="Arial"/>
        </w:rPr>
      </w:pPr>
    </w:p>
    <w:p w14:paraId="3B421CF3" w14:textId="77777777" w:rsidR="009C79E2" w:rsidRPr="009C79E2" w:rsidRDefault="009C79E2" w:rsidP="009C79E2">
      <w:pPr>
        <w:rPr>
          <w:rFonts w:ascii="Arial" w:hAnsi="Arial" w:cs="Arial"/>
        </w:rPr>
      </w:pPr>
    </w:p>
    <w:p w14:paraId="06103BA9" w14:textId="77777777" w:rsidR="009C79E2" w:rsidRPr="009C79E2" w:rsidRDefault="009C79E2" w:rsidP="009C79E2">
      <w:pPr>
        <w:rPr>
          <w:rFonts w:ascii="Arial" w:hAnsi="Arial" w:cs="Arial"/>
        </w:rPr>
      </w:pPr>
    </w:p>
    <w:p w14:paraId="5FA5C3E4" w14:textId="77777777" w:rsidR="009C79E2" w:rsidRPr="009C79E2" w:rsidRDefault="009C79E2" w:rsidP="009C79E2">
      <w:pPr>
        <w:rPr>
          <w:rFonts w:ascii="Arial" w:hAnsi="Arial" w:cs="Arial"/>
        </w:rPr>
      </w:pPr>
    </w:p>
    <w:p w14:paraId="76B1FD2E" w14:textId="7558E135" w:rsidR="009C79E2" w:rsidRDefault="009C79E2" w:rsidP="009C79E2">
      <w:pPr>
        <w:rPr>
          <w:rFonts w:ascii="Arial" w:hAnsi="Arial" w:cs="Arial"/>
        </w:rPr>
      </w:pPr>
    </w:p>
    <w:p w14:paraId="6DC4B738" w14:textId="7E4EC9EC" w:rsidR="00DF1EF9" w:rsidRDefault="00DF1EF9" w:rsidP="009C79E2">
      <w:pPr>
        <w:rPr>
          <w:rFonts w:ascii="Arial" w:hAnsi="Arial" w:cs="Arial"/>
        </w:rPr>
      </w:pPr>
    </w:p>
    <w:p w14:paraId="2FA56988" w14:textId="77CE578D" w:rsidR="00AE3BC1" w:rsidRDefault="00AE3BC1" w:rsidP="00DF1EF9">
      <w:pPr>
        <w:rPr>
          <w:rFonts w:ascii="Arial" w:hAnsi="Arial" w:cs="Arial"/>
        </w:rPr>
      </w:pPr>
    </w:p>
    <w:p w14:paraId="4201B190" w14:textId="5605A62C" w:rsidR="00DF1EF9" w:rsidRDefault="00DF1EF9" w:rsidP="00DF1EF9">
      <w:pPr>
        <w:rPr>
          <w:rFonts w:ascii="Arial" w:hAnsi="Arial" w:cs="Arial"/>
        </w:rPr>
      </w:pPr>
    </w:p>
    <w:p w14:paraId="437AE2DE" w14:textId="67A1A62B" w:rsidR="00DF1EF9" w:rsidRPr="00DF1EF9" w:rsidRDefault="00DF1EF9" w:rsidP="00DF1EF9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DF1EF9">
        <w:rPr>
          <w:rFonts w:ascii="Arial" w:eastAsia="Times New Roman" w:hAnsi="Arial" w:cs="Arial"/>
          <w:b/>
          <w:bCs/>
          <w:sz w:val="24"/>
          <w:szCs w:val="24"/>
        </w:rPr>
        <w:lastRenderedPageBreak/>
        <w:t>Gazlı Kutu İçecek Alımı Teknik Şartnamesi</w:t>
      </w:r>
      <w:r w:rsidRPr="00DF1EF9">
        <w:rPr>
          <w:rFonts w:ascii="Arial" w:eastAsia="Times New Roman" w:hAnsi="Arial" w:cs="Arial"/>
          <w:sz w:val="24"/>
          <w:szCs w:val="24"/>
        </w:rPr>
        <w:t xml:space="preserve">, temin edilecek ürünlerin </w:t>
      </w:r>
      <w:r w:rsidRPr="00DF1EF9">
        <w:rPr>
          <w:rFonts w:ascii="Arial" w:eastAsia="Times New Roman" w:hAnsi="Arial" w:cs="Arial"/>
          <w:i/>
          <w:iCs/>
          <w:sz w:val="24"/>
          <w:szCs w:val="24"/>
        </w:rPr>
        <w:t xml:space="preserve">Türk Gıda </w:t>
      </w:r>
      <w:proofErr w:type="spellStart"/>
      <w:r w:rsidRPr="00DF1EF9">
        <w:rPr>
          <w:rFonts w:ascii="Arial" w:eastAsia="Times New Roman" w:hAnsi="Arial" w:cs="Arial"/>
          <w:i/>
          <w:iCs/>
          <w:sz w:val="24"/>
          <w:szCs w:val="24"/>
        </w:rPr>
        <w:t>Kodeksi’ne</w:t>
      </w:r>
      <w:proofErr w:type="spellEnd"/>
      <w:r w:rsidRPr="00DF1EF9">
        <w:rPr>
          <w:rFonts w:ascii="Arial" w:eastAsia="Times New Roman" w:hAnsi="Arial" w:cs="Arial"/>
          <w:sz w:val="24"/>
          <w:szCs w:val="24"/>
        </w:rPr>
        <w:t xml:space="preserve"> uygunluğu, ambalaj sağlamlığı, üretim izinleri ve teslimat şartlarını belirleyen resmi tedarik belgesidir. Kurum, işletme veya ihale makamına göre değişmekle birlikte, şartnamenin temel unsurları standarttır</w:t>
      </w:r>
    </w:p>
    <w:p w14:paraId="5C5E284D" w14:textId="77777777" w:rsidR="00DF1EF9" w:rsidRPr="00DF1EF9" w:rsidRDefault="00DF1EF9" w:rsidP="00DF1EF9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DF1EF9">
        <w:rPr>
          <w:rFonts w:ascii="Arial" w:eastAsia="Times New Roman" w:hAnsi="Arial" w:cs="Arial"/>
          <w:sz w:val="24"/>
          <w:szCs w:val="24"/>
        </w:rPr>
        <w:t xml:space="preserve">Genel kabul gören </w:t>
      </w:r>
      <w:r w:rsidRPr="00DF1EF9">
        <w:rPr>
          <w:rFonts w:ascii="Arial" w:eastAsia="Times New Roman" w:hAnsi="Arial" w:cs="Arial"/>
          <w:b/>
          <w:bCs/>
          <w:sz w:val="24"/>
          <w:szCs w:val="24"/>
        </w:rPr>
        <w:t>Gazlı Kutu İçecek Teknik Şartnamesi</w:t>
      </w:r>
      <w:r w:rsidRPr="00DF1EF9">
        <w:rPr>
          <w:rFonts w:ascii="Arial" w:eastAsia="Times New Roman" w:hAnsi="Arial" w:cs="Arial"/>
          <w:sz w:val="24"/>
          <w:szCs w:val="24"/>
        </w:rPr>
        <w:t xml:space="preserve"> standartları şu şekildedir:</w:t>
      </w:r>
    </w:p>
    <w:p w14:paraId="233D0105" w14:textId="77777777" w:rsidR="00DF1EF9" w:rsidRPr="00DF1EF9" w:rsidRDefault="00DF1EF9" w:rsidP="00DF1EF9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 w:rsidRPr="00DF1EF9">
        <w:rPr>
          <w:rFonts w:ascii="Arial" w:eastAsia="Times New Roman" w:hAnsi="Arial" w:cs="Arial"/>
          <w:b/>
          <w:bCs/>
          <w:sz w:val="30"/>
          <w:szCs w:val="30"/>
        </w:rPr>
        <w:t>1. Genel Standartlar ve Yasal Mevzuat</w:t>
      </w:r>
    </w:p>
    <w:p w14:paraId="765CD7A2" w14:textId="77777777" w:rsidR="00DF1EF9" w:rsidRPr="00DF1EF9" w:rsidRDefault="00DF1EF9" w:rsidP="00DF1EF9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F1EF9">
        <w:rPr>
          <w:rFonts w:ascii="Arial" w:eastAsia="Times New Roman" w:hAnsi="Arial" w:cs="Arial"/>
          <w:b/>
          <w:bCs/>
          <w:sz w:val="24"/>
          <w:szCs w:val="24"/>
        </w:rPr>
        <w:t>Uyumluluk:</w:t>
      </w:r>
      <w:r w:rsidRPr="00DF1EF9">
        <w:rPr>
          <w:rFonts w:ascii="Arial" w:eastAsia="Times New Roman" w:hAnsi="Arial" w:cs="Arial"/>
          <w:sz w:val="24"/>
          <w:szCs w:val="24"/>
        </w:rPr>
        <w:t xml:space="preserve"> İçecekler yürürlükteki </w:t>
      </w:r>
      <w:r w:rsidRPr="00DF1EF9">
        <w:rPr>
          <w:rFonts w:ascii="Arial" w:eastAsia="Times New Roman" w:hAnsi="Arial" w:cs="Arial"/>
          <w:i/>
          <w:iCs/>
          <w:sz w:val="24"/>
          <w:szCs w:val="24"/>
        </w:rPr>
        <w:t>Türk Gıda Kodeksi Alkolsüz İçecekler Yönetmeliği'ne</w:t>
      </w:r>
      <w:r w:rsidRPr="00DF1EF9">
        <w:rPr>
          <w:rFonts w:ascii="Arial" w:eastAsia="Times New Roman" w:hAnsi="Arial" w:cs="Arial"/>
          <w:sz w:val="24"/>
          <w:szCs w:val="24"/>
        </w:rPr>
        <w:t xml:space="preserve"> uygun olarak üretilmiş olmalıdır.</w:t>
      </w:r>
    </w:p>
    <w:p w14:paraId="6065000B" w14:textId="69AAADD3" w:rsidR="00DF1EF9" w:rsidRPr="00DF1EF9" w:rsidRDefault="00DF1EF9" w:rsidP="00D9218D">
      <w:pPr>
        <w:numPr>
          <w:ilvl w:val="0"/>
          <w:numId w:val="13"/>
        </w:numPr>
        <w:spacing w:after="180" w:line="240" w:lineRule="auto"/>
        <w:ind w:left="0"/>
        <w:rPr>
          <w:rFonts w:ascii="Arial" w:eastAsia="Times New Roman" w:hAnsi="Arial" w:cs="Arial"/>
          <w:b/>
          <w:bCs/>
          <w:sz w:val="30"/>
          <w:szCs w:val="30"/>
        </w:rPr>
      </w:pPr>
      <w:r w:rsidRPr="00DF1EF9">
        <w:rPr>
          <w:rFonts w:ascii="Arial" w:eastAsia="Times New Roman" w:hAnsi="Arial" w:cs="Arial"/>
          <w:b/>
          <w:bCs/>
          <w:sz w:val="24"/>
          <w:szCs w:val="24"/>
        </w:rPr>
        <w:t>Belgelendirme:</w:t>
      </w:r>
      <w:r w:rsidRPr="00DF1EF9">
        <w:rPr>
          <w:rFonts w:ascii="Arial" w:eastAsia="Times New Roman" w:hAnsi="Arial" w:cs="Arial"/>
          <w:sz w:val="24"/>
          <w:szCs w:val="24"/>
        </w:rPr>
        <w:t xml:space="preserve"> Üretici firmanın Gıda Sicil ve İşletme Kayıt Belgeleri (veya güncel onay belgeleri) tam olmalıdır. Şartnameye uygun olarak ISO/HACCP kalite belgeleri istenebilir. </w:t>
      </w:r>
      <w:r w:rsidRPr="00DF1EF9">
        <w:rPr>
          <w:rFonts w:ascii="Arial" w:eastAsia="Times New Roman" w:hAnsi="Arial" w:cs="Arial"/>
          <w:b/>
          <w:bCs/>
          <w:sz w:val="30"/>
          <w:szCs w:val="30"/>
        </w:rPr>
        <w:t>2. Fiziksel ve Organoleptik (Duyusal) Özellikler</w:t>
      </w:r>
    </w:p>
    <w:p w14:paraId="1DBF98F0" w14:textId="77777777" w:rsidR="00DF1EF9" w:rsidRPr="00DF1EF9" w:rsidRDefault="00DF1EF9" w:rsidP="00DF1EF9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F1EF9">
        <w:rPr>
          <w:rFonts w:ascii="Arial" w:eastAsia="Times New Roman" w:hAnsi="Arial" w:cs="Arial"/>
          <w:b/>
          <w:bCs/>
          <w:sz w:val="24"/>
          <w:szCs w:val="24"/>
        </w:rPr>
        <w:t>Renk ve Berraklık:</w:t>
      </w:r>
      <w:r w:rsidRPr="00DF1EF9">
        <w:rPr>
          <w:rFonts w:ascii="Arial" w:eastAsia="Times New Roman" w:hAnsi="Arial" w:cs="Arial"/>
          <w:sz w:val="24"/>
          <w:szCs w:val="24"/>
        </w:rPr>
        <w:t xml:space="preserve"> İçecekler kendi ürün grubunun (kola, portakal, gazoz vb.) kendine özgü renginde, parlak ve berrak olmalıdır.</w:t>
      </w:r>
    </w:p>
    <w:p w14:paraId="5A5AFB17" w14:textId="77777777" w:rsidR="00DF1EF9" w:rsidRPr="00DF1EF9" w:rsidRDefault="00DF1EF9" w:rsidP="00DF1EF9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F1EF9">
        <w:rPr>
          <w:rFonts w:ascii="Arial" w:eastAsia="Times New Roman" w:hAnsi="Arial" w:cs="Arial"/>
          <w:b/>
          <w:bCs/>
          <w:sz w:val="24"/>
          <w:szCs w:val="24"/>
        </w:rPr>
        <w:t>Tat ve Koku:</w:t>
      </w:r>
      <w:r w:rsidRPr="00DF1EF9">
        <w:rPr>
          <w:rFonts w:ascii="Arial" w:eastAsia="Times New Roman" w:hAnsi="Arial" w:cs="Arial"/>
          <w:sz w:val="24"/>
          <w:szCs w:val="24"/>
        </w:rPr>
        <w:t xml:space="preserve"> Ürüne yabancı hiçbir tat ve koku sinmemiş olmalıdır. Kötü, ekşi, yanık veya kimyasal kokular barındırmamalıdır.</w:t>
      </w:r>
    </w:p>
    <w:p w14:paraId="3D08DEB5" w14:textId="574558A2" w:rsidR="00DF1EF9" w:rsidRPr="00DF1EF9" w:rsidRDefault="00DF1EF9" w:rsidP="00D73FC3">
      <w:pPr>
        <w:numPr>
          <w:ilvl w:val="0"/>
          <w:numId w:val="14"/>
        </w:numPr>
        <w:spacing w:after="180" w:line="240" w:lineRule="auto"/>
        <w:ind w:left="0"/>
        <w:rPr>
          <w:rFonts w:ascii="Arial" w:eastAsia="Times New Roman" w:hAnsi="Arial" w:cs="Arial"/>
          <w:b/>
          <w:bCs/>
          <w:sz w:val="30"/>
          <w:szCs w:val="30"/>
        </w:rPr>
      </w:pPr>
      <w:r w:rsidRPr="00DF1EF9">
        <w:rPr>
          <w:rFonts w:ascii="Arial" w:eastAsia="Times New Roman" w:hAnsi="Arial" w:cs="Arial"/>
          <w:b/>
          <w:bCs/>
          <w:sz w:val="24"/>
          <w:szCs w:val="24"/>
        </w:rPr>
        <w:t>Gaz Kabarcığı:</w:t>
      </w:r>
      <w:r w:rsidRPr="00DF1EF9">
        <w:rPr>
          <w:rFonts w:ascii="Arial" w:eastAsia="Times New Roman" w:hAnsi="Arial" w:cs="Arial"/>
          <w:sz w:val="24"/>
          <w:szCs w:val="24"/>
        </w:rPr>
        <w:t xml:space="preserve"> İçecek açıldığında yeterli gaz çıkışı olmalı, ancak standartları aşan asit/gaz dengesizliği bulunmamalıdır</w:t>
      </w:r>
      <w:r w:rsidRPr="00DF1EF9">
        <w:rPr>
          <w:rFonts w:ascii="Arial" w:eastAsia="Times New Roman" w:hAnsi="Arial" w:cs="Arial"/>
          <w:b/>
          <w:bCs/>
          <w:sz w:val="30"/>
          <w:szCs w:val="30"/>
        </w:rPr>
        <w:t>3. Ambalaj ve Etiketleme Kriterleri</w:t>
      </w:r>
    </w:p>
    <w:p w14:paraId="18549B1A" w14:textId="5A6391C9" w:rsidR="00DF1EF9" w:rsidRPr="00DF1EF9" w:rsidRDefault="00DF1EF9" w:rsidP="00DF1EF9">
      <w:pPr>
        <w:numPr>
          <w:ilvl w:val="0"/>
          <w:numId w:val="1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F1EF9">
        <w:rPr>
          <w:rFonts w:ascii="Arial" w:eastAsia="Times New Roman" w:hAnsi="Arial" w:cs="Arial"/>
          <w:b/>
          <w:bCs/>
          <w:sz w:val="24"/>
          <w:szCs w:val="24"/>
        </w:rPr>
        <w:t>Kutu Formatı:</w:t>
      </w:r>
      <w:r w:rsidRPr="00DF1EF9">
        <w:rPr>
          <w:rFonts w:ascii="Arial" w:eastAsia="Times New Roman" w:hAnsi="Arial" w:cs="Arial"/>
          <w:sz w:val="24"/>
          <w:szCs w:val="24"/>
        </w:rPr>
        <w:t xml:space="preserve"> İçecekler çoğunlukla </w:t>
      </w:r>
      <w:r w:rsidRPr="00DF1EF9">
        <w:rPr>
          <w:rFonts w:ascii="Arial" w:eastAsia="Times New Roman" w:hAnsi="Arial" w:cs="Arial"/>
          <w:i/>
          <w:iCs/>
          <w:sz w:val="24"/>
          <w:szCs w:val="24"/>
        </w:rPr>
        <w:t xml:space="preserve">330 ml </w:t>
      </w:r>
      <w:r w:rsidRPr="00DF1EF9">
        <w:rPr>
          <w:rFonts w:ascii="Arial" w:eastAsia="Times New Roman" w:hAnsi="Arial" w:cs="Arial"/>
          <w:sz w:val="24"/>
          <w:szCs w:val="24"/>
        </w:rPr>
        <w:t>boyutlarında</w:t>
      </w:r>
      <w:bookmarkStart w:id="0" w:name="_GoBack"/>
      <w:bookmarkEnd w:id="0"/>
      <w:r w:rsidRPr="00DF1EF9">
        <w:rPr>
          <w:rFonts w:ascii="Arial" w:eastAsia="Times New Roman" w:hAnsi="Arial" w:cs="Arial"/>
          <w:sz w:val="24"/>
          <w:szCs w:val="24"/>
        </w:rPr>
        <w:t xml:space="preserve"> kapalı ve orijinal teneke (metal) kutularda olmalıdır. </w:t>
      </w:r>
    </w:p>
    <w:p w14:paraId="00CEE3A8" w14:textId="739BBB4F" w:rsidR="00DF1EF9" w:rsidRPr="00DF1EF9" w:rsidRDefault="00DF1EF9" w:rsidP="00DF1EF9">
      <w:pPr>
        <w:numPr>
          <w:ilvl w:val="0"/>
          <w:numId w:val="1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F1EF9">
        <w:rPr>
          <w:rFonts w:ascii="Arial" w:eastAsia="Times New Roman" w:hAnsi="Arial" w:cs="Arial"/>
          <w:b/>
          <w:bCs/>
          <w:sz w:val="24"/>
          <w:szCs w:val="24"/>
        </w:rPr>
        <w:t>Deformasyon:</w:t>
      </w:r>
      <w:r w:rsidRPr="00DF1EF9">
        <w:rPr>
          <w:rFonts w:ascii="Arial" w:eastAsia="Times New Roman" w:hAnsi="Arial" w:cs="Arial"/>
          <w:sz w:val="24"/>
          <w:szCs w:val="24"/>
        </w:rPr>
        <w:t xml:space="preserve"> Kutularda bombeleşme (şişkinlik), eziklik, paslanma, çizilme veya herhangi bir sızdırma/deformasyon kesinlikle olmamalıdır</w:t>
      </w:r>
    </w:p>
    <w:p w14:paraId="1C0041C8" w14:textId="368B64EE" w:rsidR="00DF1EF9" w:rsidRPr="00DF1EF9" w:rsidRDefault="00DF1EF9" w:rsidP="00DF1EF9">
      <w:pPr>
        <w:numPr>
          <w:ilvl w:val="0"/>
          <w:numId w:val="1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F1EF9">
        <w:rPr>
          <w:rFonts w:ascii="Arial" w:eastAsia="Times New Roman" w:hAnsi="Arial" w:cs="Arial"/>
          <w:b/>
          <w:bCs/>
          <w:sz w:val="24"/>
          <w:szCs w:val="24"/>
        </w:rPr>
        <w:t>Etiket Bilgisi:</w:t>
      </w:r>
      <w:r w:rsidRPr="00DF1EF9">
        <w:rPr>
          <w:rFonts w:ascii="Arial" w:eastAsia="Times New Roman" w:hAnsi="Arial" w:cs="Arial"/>
          <w:sz w:val="24"/>
          <w:szCs w:val="24"/>
        </w:rPr>
        <w:t xml:space="preserve"> Kutuların üzerinde net bir şekilde ürün adı, üretici firma bilgileri, içindekiler listesi, net hacim, üretim ve son kullanma tarihi (SKT) yer almalıdır. </w:t>
      </w:r>
    </w:p>
    <w:p w14:paraId="50E84D67" w14:textId="77777777" w:rsidR="00DF1EF9" w:rsidRPr="00DF1EF9" w:rsidRDefault="00DF1EF9" w:rsidP="00DF1EF9">
      <w:pPr>
        <w:numPr>
          <w:ilvl w:val="0"/>
          <w:numId w:val="1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F1EF9">
        <w:rPr>
          <w:rFonts w:ascii="Arial" w:eastAsia="Times New Roman" w:hAnsi="Arial" w:cs="Arial"/>
          <w:b/>
          <w:bCs/>
          <w:sz w:val="24"/>
          <w:szCs w:val="24"/>
        </w:rPr>
        <w:t>Lot/Parti Kodu:</w:t>
      </w:r>
      <w:r w:rsidRPr="00DF1EF9">
        <w:rPr>
          <w:rFonts w:ascii="Arial" w:eastAsia="Times New Roman" w:hAnsi="Arial" w:cs="Arial"/>
          <w:sz w:val="24"/>
          <w:szCs w:val="24"/>
        </w:rPr>
        <w:t xml:space="preserve"> Ürünlerin üzerinde izlenebilirliği sağlayan parti/seri numaraları bulunmalıdır.</w:t>
      </w:r>
    </w:p>
    <w:p w14:paraId="7AEE5326" w14:textId="77777777" w:rsidR="00DF1EF9" w:rsidRPr="00DF1EF9" w:rsidRDefault="00DF1EF9" w:rsidP="00DF1EF9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 w:rsidRPr="00DF1EF9">
        <w:rPr>
          <w:rFonts w:ascii="Arial" w:eastAsia="Times New Roman" w:hAnsi="Arial" w:cs="Arial"/>
          <w:b/>
          <w:bCs/>
          <w:sz w:val="30"/>
          <w:szCs w:val="30"/>
        </w:rPr>
        <w:t>4. Depolama ve Teslimat Şartları</w:t>
      </w:r>
    </w:p>
    <w:p w14:paraId="23F8E286" w14:textId="77777777" w:rsidR="00DF1EF9" w:rsidRPr="00DF1EF9" w:rsidRDefault="00DF1EF9" w:rsidP="00DF1EF9">
      <w:pPr>
        <w:numPr>
          <w:ilvl w:val="0"/>
          <w:numId w:val="16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F1EF9">
        <w:rPr>
          <w:rFonts w:ascii="Arial" w:eastAsia="Times New Roman" w:hAnsi="Arial" w:cs="Arial"/>
          <w:b/>
          <w:bCs/>
          <w:sz w:val="24"/>
          <w:szCs w:val="24"/>
        </w:rPr>
        <w:t>Raf Ömrü:</w:t>
      </w:r>
      <w:r w:rsidRPr="00DF1EF9">
        <w:rPr>
          <w:rFonts w:ascii="Arial" w:eastAsia="Times New Roman" w:hAnsi="Arial" w:cs="Arial"/>
          <w:sz w:val="24"/>
          <w:szCs w:val="24"/>
        </w:rPr>
        <w:t xml:space="preserve"> Teslim edilen ürünlerin raf ömrünün (üretim tarihinden itibaren) genellikle en az yarısını veya üçte ikisini tamamlamamış olması istenir.</w:t>
      </w:r>
    </w:p>
    <w:p w14:paraId="1E170320" w14:textId="77777777" w:rsidR="00DF1EF9" w:rsidRPr="00DF1EF9" w:rsidRDefault="00DF1EF9" w:rsidP="00DF1EF9">
      <w:pPr>
        <w:numPr>
          <w:ilvl w:val="0"/>
          <w:numId w:val="16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F1EF9">
        <w:rPr>
          <w:rFonts w:ascii="Arial" w:eastAsia="Times New Roman" w:hAnsi="Arial" w:cs="Arial"/>
          <w:b/>
          <w:bCs/>
          <w:sz w:val="24"/>
          <w:szCs w:val="24"/>
        </w:rPr>
        <w:t>Koşullar:</w:t>
      </w:r>
      <w:r w:rsidRPr="00DF1EF9">
        <w:rPr>
          <w:rFonts w:ascii="Arial" w:eastAsia="Times New Roman" w:hAnsi="Arial" w:cs="Arial"/>
          <w:sz w:val="24"/>
          <w:szCs w:val="24"/>
        </w:rPr>
        <w:t xml:space="preserve"> Kutular kuru, serin ve güneş ışığı almayan depolama koşullarında taşınmalı ve teslim edilmelidir.</w:t>
      </w:r>
    </w:p>
    <w:p w14:paraId="73DFB14C" w14:textId="09F36B2F" w:rsidR="00DF1EF9" w:rsidRPr="00DF1EF9" w:rsidRDefault="00DF1EF9" w:rsidP="00DF1EF9">
      <w:pPr>
        <w:numPr>
          <w:ilvl w:val="0"/>
          <w:numId w:val="16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F1EF9">
        <w:rPr>
          <w:rFonts w:ascii="Arial" w:eastAsia="Times New Roman" w:hAnsi="Arial" w:cs="Arial"/>
          <w:b/>
          <w:bCs/>
          <w:sz w:val="24"/>
          <w:szCs w:val="24"/>
        </w:rPr>
        <w:t>Parti Teslimatı:</w:t>
      </w:r>
      <w:r w:rsidRPr="00DF1EF9">
        <w:rPr>
          <w:rFonts w:ascii="Arial" w:eastAsia="Times New Roman" w:hAnsi="Arial" w:cs="Arial"/>
          <w:sz w:val="24"/>
          <w:szCs w:val="24"/>
        </w:rPr>
        <w:t xml:space="preserve"> Toplu alımlarda teslimatlar kurumun talep ettiği </w:t>
      </w:r>
      <w:proofErr w:type="gramStart"/>
      <w:r w:rsidRPr="00DF1EF9">
        <w:rPr>
          <w:rFonts w:ascii="Arial" w:eastAsia="Times New Roman" w:hAnsi="Arial" w:cs="Arial"/>
          <w:sz w:val="24"/>
          <w:szCs w:val="24"/>
        </w:rPr>
        <w:t>periyotlarda</w:t>
      </w:r>
      <w:proofErr w:type="gramEnd"/>
      <w:r w:rsidRPr="00DF1EF9">
        <w:rPr>
          <w:rFonts w:ascii="Arial" w:eastAsia="Times New Roman" w:hAnsi="Arial" w:cs="Arial"/>
          <w:sz w:val="24"/>
          <w:szCs w:val="24"/>
        </w:rPr>
        <w:t xml:space="preserve"> (örneğin siparişten sonraki 1 iş günü içinde) partiler halinde yapılabilir</w:t>
      </w:r>
    </w:p>
    <w:p w14:paraId="31C4BD0D" w14:textId="77777777" w:rsidR="00DF1EF9" w:rsidRPr="00DF1EF9" w:rsidRDefault="00DF1EF9" w:rsidP="00DF1EF9">
      <w:pPr>
        <w:rPr>
          <w:rFonts w:ascii="Arial" w:hAnsi="Arial" w:cs="Arial"/>
        </w:rPr>
      </w:pPr>
    </w:p>
    <w:sectPr w:rsidR="00DF1EF9" w:rsidRPr="00DF1EF9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120EC" w14:textId="77777777" w:rsidR="00662A16" w:rsidRDefault="00662A16" w:rsidP="00BF74B7">
      <w:pPr>
        <w:spacing w:after="0" w:line="240" w:lineRule="auto"/>
      </w:pPr>
      <w:r>
        <w:separator/>
      </w:r>
    </w:p>
  </w:endnote>
  <w:endnote w:type="continuationSeparator" w:id="0">
    <w:p w14:paraId="64284E24" w14:textId="77777777" w:rsidR="00662A16" w:rsidRDefault="00662A16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D900B" w14:textId="77777777" w:rsidR="00662A16" w:rsidRDefault="00662A16" w:rsidP="00BF74B7">
      <w:pPr>
        <w:spacing w:after="0" w:line="240" w:lineRule="auto"/>
      </w:pPr>
      <w:r>
        <w:separator/>
      </w:r>
    </w:p>
  </w:footnote>
  <w:footnote w:type="continuationSeparator" w:id="0">
    <w:p w14:paraId="4C5093E2" w14:textId="77777777" w:rsidR="00662A16" w:rsidRDefault="00662A16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72100"/>
    <w:multiLevelType w:val="multilevel"/>
    <w:tmpl w:val="49FE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262863"/>
    <w:multiLevelType w:val="multilevel"/>
    <w:tmpl w:val="0B6A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011D44"/>
    <w:multiLevelType w:val="multilevel"/>
    <w:tmpl w:val="CF78E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6B37F8"/>
    <w:multiLevelType w:val="multilevel"/>
    <w:tmpl w:val="A53E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6A2E04"/>
    <w:multiLevelType w:val="multilevel"/>
    <w:tmpl w:val="F0C4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97D33"/>
    <w:multiLevelType w:val="hybridMultilevel"/>
    <w:tmpl w:val="C8CCE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1"/>
  </w:num>
  <w:num w:numId="7">
    <w:abstractNumId w:val="0"/>
  </w:num>
  <w:num w:numId="8">
    <w:abstractNumId w:val="14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5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1184D"/>
    <w:rsid w:val="0012120C"/>
    <w:rsid w:val="00143DAA"/>
    <w:rsid w:val="0015178B"/>
    <w:rsid w:val="00167F3E"/>
    <w:rsid w:val="00170B5A"/>
    <w:rsid w:val="0017374A"/>
    <w:rsid w:val="00175F11"/>
    <w:rsid w:val="0018449F"/>
    <w:rsid w:val="001873FE"/>
    <w:rsid w:val="001A6364"/>
    <w:rsid w:val="001C1059"/>
    <w:rsid w:val="001E6F32"/>
    <w:rsid w:val="00250B21"/>
    <w:rsid w:val="00252D01"/>
    <w:rsid w:val="00294D78"/>
    <w:rsid w:val="002A1B55"/>
    <w:rsid w:val="002A7496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27B57"/>
    <w:rsid w:val="00336273"/>
    <w:rsid w:val="00363FE2"/>
    <w:rsid w:val="00366395"/>
    <w:rsid w:val="003917F2"/>
    <w:rsid w:val="003C170B"/>
    <w:rsid w:val="003F0DA2"/>
    <w:rsid w:val="003F500B"/>
    <w:rsid w:val="003F6A3C"/>
    <w:rsid w:val="00400804"/>
    <w:rsid w:val="0041210E"/>
    <w:rsid w:val="00412DD6"/>
    <w:rsid w:val="00431E50"/>
    <w:rsid w:val="004639D4"/>
    <w:rsid w:val="00471BCA"/>
    <w:rsid w:val="004727EF"/>
    <w:rsid w:val="00475B23"/>
    <w:rsid w:val="004A0A4A"/>
    <w:rsid w:val="004B6939"/>
    <w:rsid w:val="004C0D70"/>
    <w:rsid w:val="004D571A"/>
    <w:rsid w:val="004E011D"/>
    <w:rsid w:val="004F06CE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62A16"/>
    <w:rsid w:val="00673CED"/>
    <w:rsid w:val="0067727A"/>
    <w:rsid w:val="00687D32"/>
    <w:rsid w:val="00691618"/>
    <w:rsid w:val="00691C7B"/>
    <w:rsid w:val="00694DB3"/>
    <w:rsid w:val="00695C92"/>
    <w:rsid w:val="00696A26"/>
    <w:rsid w:val="006A241D"/>
    <w:rsid w:val="006A5015"/>
    <w:rsid w:val="006D25B3"/>
    <w:rsid w:val="006E4D30"/>
    <w:rsid w:val="006F10B3"/>
    <w:rsid w:val="00721D24"/>
    <w:rsid w:val="00725555"/>
    <w:rsid w:val="00753CCE"/>
    <w:rsid w:val="0076134C"/>
    <w:rsid w:val="007714D5"/>
    <w:rsid w:val="007920A7"/>
    <w:rsid w:val="00793E1C"/>
    <w:rsid w:val="007C089A"/>
    <w:rsid w:val="007C08C3"/>
    <w:rsid w:val="00825B5B"/>
    <w:rsid w:val="00830913"/>
    <w:rsid w:val="008455F0"/>
    <w:rsid w:val="0086045E"/>
    <w:rsid w:val="00885B19"/>
    <w:rsid w:val="008B2AA3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C79E2"/>
    <w:rsid w:val="009D418E"/>
    <w:rsid w:val="009F28AC"/>
    <w:rsid w:val="009F29F2"/>
    <w:rsid w:val="00A125FA"/>
    <w:rsid w:val="00A3789E"/>
    <w:rsid w:val="00A41242"/>
    <w:rsid w:val="00A41F61"/>
    <w:rsid w:val="00A60FA4"/>
    <w:rsid w:val="00A73553"/>
    <w:rsid w:val="00AA4015"/>
    <w:rsid w:val="00AB10C2"/>
    <w:rsid w:val="00AC38A6"/>
    <w:rsid w:val="00AE3BC1"/>
    <w:rsid w:val="00B057E0"/>
    <w:rsid w:val="00B06484"/>
    <w:rsid w:val="00B108DA"/>
    <w:rsid w:val="00B13C8B"/>
    <w:rsid w:val="00B359DD"/>
    <w:rsid w:val="00B4643E"/>
    <w:rsid w:val="00BF74B7"/>
    <w:rsid w:val="00C14798"/>
    <w:rsid w:val="00C1547C"/>
    <w:rsid w:val="00C1642E"/>
    <w:rsid w:val="00C26601"/>
    <w:rsid w:val="00C27434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87FE2"/>
    <w:rsid w:val="00DA646C"/>
    <w:rsid w:val="00DA66ED"/>
    <w:rsid w:val="00DC459C"/>
    <w:rsid w:val="00DD17E3"/>
    <w:rsid w:val="00DF1EF9"/>
    <w:rsid w:val="00DF5BB8"/>
    <w:rsid w:val="00E04D5E"/>
    <w:rsid w:val="00E06490"/>
    <w:rsid w:val="00E12DCC"/>
    <w:rsid w:val="00E16224"/>
    <w:rsid w:val="00E1625A"/>
    <w:rsid w:val="00E52E34"/>
    <w:rsid w:val="00E70566"/>
    <w:rsid w:val="00E732AC"/>
    <w:rsid w:val="00E931F4"/>
    <w:rsid w:val="00EB7E81"/>
    <w:rsid w:val="00ED2333"/>
    <w:rsid w:val="00ED76F1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5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08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401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203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5118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021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6</cp:revision>
  <cp:lastPrinted>2025-07-03T11:59:00Z</cp:lastPrinted>
  <dcterms:created xsi:type="dcterms:W3CDTF">2026-06-09T09:34:00Z</dcterms:created>
  <dcterms:modified xsi:type="dcterms:W3CDTF">2026-06-09T09:38:00Z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