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9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067"/>
        <w:gridCol w:w="850"/>
        <w:gridCol w:w="993"/>
        <w:gridCol w:w="1559"/>
        <w:gridCol w:w="1843"/>
      </w:tblGrid>
      <w:tr w:rsidR="005A5E3A" w:rsidRPr="000F0F23" w:rsidTr="006E144C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BA1924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HP LASERJET CE27A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BA1924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BA1924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HP LASERJET 1020- VE 1022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LEXMARK MX331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RİCHO SP 150 SU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HP DESKJET3835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HP LASERJET CP 1025 COLOR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SAMSUNG MLT-DIO4S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HP LAZERJET 1536 DNF MFP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BROTHER MFC 1811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BROTHER MFC1811 DRUM (TAMBUR) ÜNİTESİ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HP LAZERJET 1102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RİCHO MP 2501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EPSON WF C579 TONER TAKIMI (SİYAH, PEMBE,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>MAVİ,SARI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</w:rPr>
              <w:t>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TAKIM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EPSON WF-C579 BAKIM KİTİ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SAMSUNG XPRESS SL-C480FW CLT-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>K404  1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SET UYUMLU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XEROX VERSALİNK C7020 ÇOK FONKSİYONLU YAZICIYA UYUMLU ATIK KARTUŞ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XEROX VERSALİNK C7020 TAKIM TONER (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>SİYAH,MAVİ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</w:rPr>
              <w:t>,PEMBE,SARI)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TAKIM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HP LAZERJET 35A-CB435A TONER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HP LAZERJET PRO MFP102A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HP LAZERJET PRO MFP225DN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HP LAZERJET CE278A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HP LASERJET CE285A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LEXMARK MX722 TONER 58D5U00/DRAM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lastRenderedPageBreak/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HP LASERJET MFP-M175NW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HP LASERJET P2055D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SAMSUNG / ML 1640 TONER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>KABLOSUZ  MOUSE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KABLOLU MOUSE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KABLOLU KLAVYE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TELSİZ TELEFON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SSD 500 GB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HP COLOR LASERJET PRO MFP 3303SDW (499M6A) (Baskı,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>fotokopi ,tarama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özellikli)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7FF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CE57FF" w:rsidRPr="000F0F23" w:rsidTr="006E144C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7FF" w:rsidRPr="000F0F23" w:rsidRDefault="00CE57FF" w:rsidP="00CE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FF" w:rsidRPr="000F0F23" w:rsidRDefault="00CE57FF" w:rsidP="00CE5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FF" w:rsidRPr="000F0F23" w:rsidRDefault="00CE57FF" w:rsidP="00CE5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9953B4" w:rsidRDefault="009953B4" w:rsidP="0002391A">
      <w:pPr>
        <w:jc w:val="both"/>
        <w:rPr>
          <w:rFonts w:ascii="Arial" w:hAnsi="Arial" w:cs="Arial"/>
          <w:sz w:val="16"/>
        </w:rPr>
      </w:pPr>
    </w:p>
    <w:p w:rsidR="009953B4" w:rsidRDefault="009953B4" w:rsidP="0002391A">
      <w:pPr>
        <w:jc w:val="both"/>
        <w:rPr>
          <w:rFonts w:ascii="Arial" w:hAnsi="Arial" w:cs="Arial"/>
          <w:sz w:val="16"/>
        </w:rPr>
      </w:pPr>
    </w:p>
    <w:p w:rsidR="009953B4" w:rsidRDefault="009953B4" w:rsidP="0002391A">
      <w:pPr>
        <w:jc w:val="both"/>
        <w:rPr>
          <w:rFonts w:ascii="Arial" w:hAnsi="Arial" w:cs="Arial"/>
          <w:sz w:val="16"/>
        </w:rPr>
      </w:pPr>
    </w:p>
    <w:p w:rsidR="009953B4" w:rsidRDefault="009953B4" w:rsidP="0002391A">
      <w:pPr>
        <w:jc w:val="both"/>
        <w:rPr>
          <w:rFonts w:ascii="Arial" w:hAnsi="Arial" w:cs="Arial"/>
          <w:sz w:val="16"/>
        </w:rPr>
      </w:pPr>
    </w:p>
    <w:p w:rsidR="001A1ACB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CE57FF" w:rsidRDefault="00CE57FF" w:rsidP="0002391A">
      <w:pPr>
        <w:jc w:val="both"/>
        <w:rPr>
          <w:rFonts w:ascii="Arial" w:hAnsi="Arial" w:cs="Arial"/>
          <w:sz w:val="16"/>
        </w:rPr>
      </w:pPr>
    </w:p>
    <w:p w:rsidR="00CE57FF" w:rsidRDefault="00CE57FF" w:rsidP="0002391A">
      <w:pPr>
        <w:jc w:val="both"/>
        <w:rPr>
          <w:rFonts w:ascii="Arial" w:hAnsi="Arial" w:cs="Arial"/>
          <w:sz w:val="16"/>
        </w:rPr>
      </w:pPr>
    </w:p>
    <w:p w:rsidR="00CE57FF" w:rsidRPr="00CE57FF" w:rsidRDefault="00CE57FF" w:rsidP="0002391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57FF">
        <w:rPr>
          <w:rFonts w:ascii="Arial" w:hAnsi="Arial" w:cs="Arial"/>
          <w:b/>
          <w:sz w:val="24"/>
          <w:szCs w:val="24"/>
          <w:u w:val="single"/>
        </w:rPr>
        <w:t>NOT: TÜM</w:t>
      </w:r>
      <w:r>
        <w:rPr>
          <w:rFonts w:ascii="Arial" w:hAnsi="Arial" w:cs="Arial"/>
          <w:b/>
          <w:sz w:val="24"/>
          <w:szCs w:val="24"/>
          <w:u w:val="single"/>
        </w:rPr>
        <w:t xml:space="preserve"> TONER VE KARTUŞLARIN</w:t>
      </w:r>
      <w:r w:rsidRPr="00CE57FF">
        <w:rPr>
          <w:rFonts w:ascii="Arial" w:hAnsi="Arial" w:cs="Arial"/>
          <w:b/>
          <w:sz w:val="24"/>
          <w:szCs w:val="24"/>
          <w:u w:val="single"/>
        </w:rPr>
        <w:t xml:space="preserve"> ORJİNAL VE MUADİL FİYATLARININ VERİLMESİNİ AYRICA KAÇ SAYFA BASIM YAPABİLDİĞİ KONUSUNUN NET BİR ŞEKİLDE BELİRTİLMESİ</w:t>
      </w:r>
      <w:r>
        <w:rPr>
          <w:rFonts w:ascii="Arial" w:hAnsi="Arial" w:cs="Arial"/>
          <w:b/>
          <w:sz w:val="24"/>
          <w:szCs w:val="24"/>
          <w:u w:val="single"/>
        </w:rPr>
        <w:t xml:space="preserve"> (TERCİHEN XL BASIM ÖZELLİĞİNE SAHİP OLANLAR İSTENMEKTEDİR.)</w:t>
      </w:r>
      <w:r w:rsidRPr="00CE57FF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VE DİĞER TALEP EDİLEN ÜRÜNLERİNDE MARKA VE MODELLERİNİN TEKLİF DE BELİRTİLMESİ </w:t>
      </w:r>
      <w:r w:rsidRPr="00CE57FF">
        <w:rPr>
          <w:rFonts w:ascii="Arial" w:hAnsi="Arial" w:cs="Arial"/>
          <w:b/>
          <w:sz w:val="24"/>
          <w:szCs w:val="24"/>
          <w:u w:val="single"/>
        </w:rPr>
        <w:t>GEREKMEKTEDİR.</w:t>
      </w: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1A1ACB" w:rsidRPr="003C6779" w:rsidTr="003C6779">
        <w:trPr>
          <w:trHeight w:val="106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ACB" w:rsidRPr="003C6779" w:rsidRDefault="003C6779" w:rsidP="00BA6836">
            <w:pPr>
              <w:rPr>
                <w:b/>
                <w:sz w:val="28"/>
              </w:rPr>
            </w:pPr>
            <w:r w:rsidRPr="003C6779">
              <w:rPr>
                <w:b/>
                <w:sz w:val="28"/>
              </w:rPr>
              <w:t>YAZICI ÖZELLİKLERİ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ACB" w:rsidRPr="003C6779" w:rsidRDefault="001A1ACB" w:rsidP="00BA6836">
            <w:pPr>
              <w:rPr>
                <w:b/>
                <w:sz w:val="28"/>
              </w:rPr>
            </w:pPr>
            <w:bookmarkStart w:id="0" w:name="_GoBack"/>
            <w:bookmarkEnd w:id="0"/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İşlevler</w:t>
            </w:r>
          </w:p>
        </w:tc>
        <w:tc>
          <w:tcPr>
            <w:tcW w:w="69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Baskı, fotokopi, tarama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Siyah beyaz baskı hızı (ISO,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letter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Dakikada 26 sayfaya kadar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Siyah beyaz baskı hızı (ISO, A4)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Dakikada 25 sayfaya kadar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Baskı hızı renkli (ISO)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26 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ppm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Baskı Hızı Renkli (ISO)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Dakikada 25 sayfaya kadar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1A1ACB" w:rsidRPr="003F0318" w:rsidTr="003B0161">
        <w:trPr>
          <w:trHeight w:val="344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İlk sayfa çıkışı siyah (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Letter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hazır)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3F0318">
              <w:rPr>
                <w:rFonts w:ascii="Calibri" w:eastAsia="Times New Roman" w:hAnsi="Calibri" w:cs="Calibri"/>
                <w:color w:val="0563C1"/>
                <w:u w:val="single"/>
              </w:rPr>
              <w:t xml:space="preserve">As </w:t>
            </w:r>
            <w:proofErr w:type="spellStart"/>
            <w:r w:rsidRPr="003F0318">
              <w:rPr>
                <w:rFonts w:ascii="Calibri" w:eastAsia="Times New Roman" w:hAnsi="Calibri" w:cs="Calibri"/>
                <w:color w:val="0563C1"/>
                <w:u w:val="single"/>
              </w:rPr>
              <w:t>fast</w:t>
            </w:r>
            <w:proofErr w:type="spellEnd"/>
            <w:r w:rsidRPr="003F0318">
              <w:rPr>
                <w:rFonts w:ascii="Calibri" w:eastAsia="Times New Roman" w:hAnsi="Calibri" w:cs="Calibri"/>
                <w:color w:val="0563C1"/>
                <w:u w:val="single"/>
              </w:rPr>
              <w:t xml:space="preserve"> as 10.8 </w:t>
            </w:r>
            <w:proofErr w:type="spellStart"/>
            <w:r w:rsidRPr="003F0318">
              <w:rPr>
                <w:rFonts w:ascii="Calibri" w:eastAsia="Times New Roman" w:hAnsi="Calibri" w:cs="Calibri"/>
                <w:color w:val="0563C1"/>
                <w:u w:val="single"/>
              </w:rPr>
              <w:t>sec</w:t>
            </w:r>
            <w:proofErr w:type="spellEnd"/>
            <w:r w:rsidRPr="003F0318">
              <w:rPr>
                <w:rFonts w:ascii="Calibri" w:eastAsia="Times New Roman" w:hAnsi="Calibri" w:cs="Calibri"/>
                <w:color w:val="0563C1"/>
                <w:u w:val="single"/>
              </w:rPr>
              <w:t> 2 ( 2 ISO/IEC 17629 kul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t>lanılarak ölçülmüştür.</w:t>
            </w:r>
          </w:p>
        </w:tc>
      </w:tr>
      <w:tr w:rsidR="001A1ACB" w:rsidRPr="003F0318" w:rsidTr="003B0161">
        <w:trPr>
          <w:trHeight w:val="514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İlk sayfa çıkışı siyah (A4, hazır)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CE57FF" w:rsidP="00BA683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tgtFrame="_self" w:history="1"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10,9 saniye kadar kısa bir sürede 2 ( 2 ISO/IEC 17629 kullanılarak ölçülmüştür.</w:t>
              </w:r>
            </w:hyperlink>
            <w:r w:rsidR="001A1ACB" w:rsidRPr="003F0318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</w:p>
        </w:tc>
      </w:tr>
      <w:tr w:rsidR="001A1ACB" w:rsidRPr="003F0318" w:rsidTr="003B0161">
        <w:trPr>
          <w:trHeight w:val="512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İlk sayfa çıkışı renkli (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letter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hazır)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CE57FF" w:rsidP="00BA683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tgtFrame="_self" w:history="1"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As </w:t>
              </w:r>
              <w:proofErr w:type="spell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fast</w:t>
              </w:r>
              <w:proofErr w:type="spell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as 10.9 </w:t>
              </w:r>
              <w:proofErr w:type="spell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sec</w:t>
              </w:r>
              <w:proofErr w:type="spell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 2 ( 2 ISO/IEC 17629 kullanılarak ölçülmüştür.</w:t>
              </w:r>
            </w:hyperlink>
            <w:r w:rsidR="001A1ACB" w:rsidRPr="003F0318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</w:p>
        </w:tc>
      </w:tr>
      <w:tr w:rsidR="001A1ACB" w:rsidRPr="003F0318" w:rsidTr="003B0161">
        <w:trPr>
          <w:trHeight w:val="738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İlk sayfa çıkışı renkli (A4, hazır)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CE57FF" w:rsidP="00BA683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tgtFrame="_self" w:history="1"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11,0 </w:t>
              </w:r>
              <w:proofErr w:type="spell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sn</w:t>
              </w:r>
              <w:proofErr w:type="spell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kadar kısa sürede 2 ( 2 ISO/IEC 17629 kullanılarak ölçülmüştür.</w:t>
              </w:r>
            </w:hyperlink>
            <w:r w:rsidR="001A1ACB" w:rsidRPr="003F0318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Çift taraflı baskı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Otomatik</w:t>
            </w:r>
          </w:p>
        </w:tc>
      </w:tr>
      <w:tr w:rsidR="001A1ACB" w:rsidRPr="003F0318" w:rsidTr="003B0161">
        <w:trPr>
          <w:trHeight w:val="1404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Çalışma döngüsü (aylık,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letter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40,000 pages40.000 sayfaya kadar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 </w:t>
            </w:r>
            <w:r w:rsidRPr="003F0318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Aylık en fazla görüntülü çıktı sayısı olarak tanımlanan baskı kapasitesi. Bu değer diğer HP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veya HP Renkli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aygıtlarına ilişkin ürün performanslarının karşılaştırılmasını sağlar ve bağlı bireylerin veya grupların taleplerini karşılamak için yazıcı ve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MFP'lerin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uygun dağıtımına olanak sağlar.)</w:t>
            </w:r>
          </w:p>
        </w:tc>
      </w:tr>
      <w:tr w:rsidR="001A1ACB" w:rsidRPr="003F0318" w:rsidTr="003B0161">
        <w:trPr>
          <w:trHeight w:val="1512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Çalışma döngüsü (aylık, A4)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40.000 sayfaya kadar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 </w:t>
            </w:r>
            <w:r w:rsidRPr="003F0318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Aylık en fazla görüntülü çıktı sayısı olarak tanımlanan baskı kapasitesi. Bu değer diğer HP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veya HP Renkli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aygıtlarına ilişkin ürün performanslarının karşılaştırılmasını sağlar ve bağlı bireylerin veya grupların taleplerini karşılamak için yazıcı ve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MFP'lerin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uygun dağıtımına olanak sağlar.)</w:t>
            </w:r>
          </w:p>
        </w:tc>
      </w:tr>
      <w:tr w:rsidR="001A1ACB" w:rsidRPr="003F0318" w:rsidTr="003B0161">
        <w:trPr>
          <w:trHeight w:val="1108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Önerilen aylık sayfa sayısı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150-2.500 arası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 </w:t>
            </w:r>
            <w:r w:rsidRPr="003F0318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HP, sarf malzemesi değiştirme aralıkları ve uzatılmış garanti süresi boyunca cihaz ömrü gibi etkenlere göre en iyi cihaz performansı için aylık resimli çıktı sayfa sayısının belirtilen aralık içerisinde olmasını önerir.)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Baskı kalitesi siyah (en iyi)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600 x 600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dpi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değerine kadar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Renkli baskı kalitesi (en iyi)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600 x 600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dpi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değerine kadar</w:t>
            </w:r>
          </w:p>
        </w:tc>
      </w:tr>
      <w:tr w:rsidR="001A1ACB" w:rsidRPr="003F0318" w:rsidTr="003B0161">
        <w:trPr>
          <w:trHeight w:val="801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Baskı dilleri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HP PCL6,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PostScript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HP PCL5, PDF, URF, PWG-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Raster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PCLM, JPEG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Baskı teknolojisi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Laser</w:t>
            </w:r>
            <w:proofErr w:type="spellEnd"/>
          </w:p>
        </w:tc>
      </w:tr>
      <w:tr w:rsidR="001A1ACB" w:rsidRPr="003F0318" w:rsidTr="003B0161">
        <w:trPr>
          <w:trHeight w:val="1228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Bağlantı, standart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Hi-Speed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USB 2.0 (cihaz); 1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Hi-Speed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USB 2.0 (ana bilgisayar); 1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-Fi 802.11ac (çift bant); Ethernet bağlantılarında otomatik geçiş; 1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Gigabit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Ethernet 10/100TX ağ bağlantısı</w:t>
            </w:r>
          </w:p>
        </w:tc>
      </w:tr>
      <w:tr w:rsidR="001A1ACB" w:rsidRPr="003F0318" w:rsidTr="003B0161">
        <w:trPr>
          <w:trHeight w:val="947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Mobil baskı yeteneği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Apple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AirPrint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™; Mobil Uygulamalar;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Mopria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™ sertifikalı; HP uygulaması;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-Fi® Direct Baskı </w:t>
            </w:r>
          </w:p>
        </w:tc>
      </w:tr>
      <w:tr w:rsidR="001A1ACB" w:rsidRPr="003F0318" w:rsidTr="003B0161">
        <w:trPr>
          <w:trHeight w:val="837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Ağ özellikleri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Dahili</w:t>
            </w:r>
            <w:proofErr w:type="gram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10/100Base-TX Ethernet,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Gigabit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 Ethernet bağlantısına otomatik geçiş; 802.1X ile kimlik doğrulama</w:t>
            </w:r>
          </w:p>
        </w:tc>
      </w:tr>
      <w:tr w:rsidR="001A1ACB" w:rsidRPr="003F0318" w:rsidTr="003B0161">
        <w:trPr>
          <w:trHeight w:val="1024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Kablosuz yeteneği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Entegre çift bant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-Fi; WEP, WPA/WPA2, WPA Enterprise ile kimlik doğrulama; AES veya TKIP ile şifreleme; WPS;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-Fi Direct</w:t>
            </w:r>
          </w:p>
        </w:tc>
      </w:tr>
      <w:tr w:rsidR="001A1ACB" w:rsidRPr="003F0318" w:rsidTr="003C6779">
        <w:trPr>
          <w:trHeight w:val="652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Macintosh için Minimum Sistem Gereksinimleri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Apple®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macOS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12.0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Monterey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macOS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13.0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Ventura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macOS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v14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Sonoma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 2 GB HD; İnternet gereklidir</w:t>
            </w:r>
          </w:p>
        </w:tc>
      </w:tr>
      <w:tr w:rsidR="001A1ACB" w:rsidRPr="003F0318" w:rsidTr="003C6779">
        <w:trPr>
          <w:trHeight w:val="542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Asgari Sistem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Ihtiyaçları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Microsoft® Windows® 11, 10: 32 bit veya 64 bit, 2 GB kullanılabilir sabit disk alanı, internet bağlantısı</w:t>
            </w:r>
          </w:p>
        </w:tc>
      </w:tr>
      <w:tr w:rsidR="001A1ACB" w:rsidRPr="003F0318" w:rsidTr="003C6779">
        <w:trPr>
          <w:trHeight w:val="588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Dijital gönderim standardı özellikleri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E-postaya Tarama, Ağ Klasörüne Tarama,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Sharepoint'e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Tarama, USB'ye Tarama, Bilgisayara Tarama</w:t>
            </w:r>
          </w:p>
        </w:tc>
      </w:tr>
      <w:tr w:rsidR="001A1ACB" w:rsidRPr="003F0318" w:rsidTr="003B0161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Ekran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4.3"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diagonal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color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TFT-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backlit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(480 x 272)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İşlemci hızı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1,2 GHz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Azami Bellek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512 MB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bellek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512 MB </w:t>
            </w:r>
          </w:p>
        </w:tc>
      </w:tr>
      <w:tr w:rsidR="001A1ACB" w:rsidRPr="003F0318" w:rsidTr="003B0161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Bilgi Depolama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0,512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GByte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(4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Gbit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 NAND Flash </w:t>
            </w:r>
          </w:p>
        </w:tc>
      </w:tr>
      <w:tr w:rsidR="001A1ACB" w:rsidRPr="003F0318" w:rsidTr="003C6779">
        <w:trPr>
          <w:trHeight w:val="1332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Uyumlu İşletim Sistemleri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CE57FF" w:rsidP="00BA683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tgtFrame="_self" w:history="1"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Otomatik belge besleyiciye ve ekstra yüksek kapasiteli kartuşlara sahip bu kablosuz, kullanımı kolay ev tipi yazıcıyla baskı alın, tarayın ve kopyalayın. 3 </w:t>
              </w:r>
              <w:proofErr w:type="spell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iOS</w:t>
              </w:r>
              <w:proofErr w:type="spell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; </w:t>
              </w:r>
              <w:proofErr w:type="spell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macOS</w:t>
              </w:r>
              <w:proofErr w:type="spell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12 </w:t>
              </w:r>
              <w:proofErr w:type="spell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Monterey</w:t>
              </w:r>
              <w:proofErr w:type="spell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; </w:t>
              </w:r>
              <w:proofErr w:type="spell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macOS</w:t>
              </w:r>
              <w:proofErr w:type="spell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13 </w:t>
              </w:r>
              <w:proofErr w:type="spell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Ventura</w:t>
              </w:r>
              <w:proofErr w:type="spell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; </w:t>
              </w:r>
              <w:proofErr w:type="spell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macOS</w:t>
              </w:r>
              <w:proofErr w:type="spell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14 </w:t>
              </w:r>
              <w:proofErr w:type="spell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Sonoma</w:t>
              </w:r>
              <w:proofErr w:type="spell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; </w:t>
              </w:r>
              <w:proofErr w:type="spell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macOS</w:t>
              </w:r>
              <w:proofErr w:type="spell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15 </w:t>
              </w:r>
              <w:proofErr w:type="spell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Sequoia</w:t>
              </w:r>
              <w:proofErr w:type="spell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; Linux 5 ( 5 Windows Server 2016, Windows Server 2019, Windows Server 2022, Linux</w:t>
              </w:r>
            </w:hyperlink>
          </w:p>
        </w:tc>
      </w:tr>
      <w:tr w:rsidR="001A1ACB" w:rsidRPr="003F0318" w:rsidTr="003C6779">
        <w:trPr>
          <w:trHeight w:val="53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Kağıt</w:t>
            </w:r>
            <w:proofErr w:type="gram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işleme girişi, standart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250 yapraklık Ana </w:t>
            </w:r>
            <w:proofErr w:type="gram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Kağıt</w:t>
            </w:r>
            <w:proofErr w:type="gram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Tepsisi, 1 yapraklık Öncelikli Besleme Tepsisi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Kağıt</w:t>
            </w:r>
            <w:proofErr w:type="gram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işleme çıkışı, standart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 yapraklık Çıktı Tepsisi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Biten çıktı için işlem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Yaprak Besleme</w:t>
            </w:r>
          </w:p>
        </w:tc>
      </w:tr>
      <w:tr w:rsidR="001A1ACB" w:rsidRPr="003F0318" w:rsidTr="003B0161">
        <w:trPr>
          <w:trHeight w:val="929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Baskı malzemesi türleri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Kağıt (dosya, broşür, renkli, kuşe, ağır, </w:t>
            </w:r>
            <w:proofErr w:type="gram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antetli</w:t>
            </w:r>
            <w:proofErr w:type="gram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hafif, düz, basılı, delikli, geriye dönüştürülmüş, pürüzlü), saydamlar, etiketler, zarflar, kartlar</w:t>
            </w:r>
          </w:p>
        </w:tc>
      </w:tr>
      <w:tr w:rsidR="001A1ACB" w:rsidRPr="003F0318" w:rsidTr="003C6779">
        <w:trPr>
          <w:trHeight w:val="828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Desteklenen ortam boyutları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A4; A5; A6; B5 (JIS); B6 (JIS); 10 x 15 cm;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Oficio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216 x 340 mm; 16K, 195 x 270 mm; 16K, 184 x 260 mm; 16K 197 x 273 mm; Kartpostal (JIS); Zarf B5; Zarf C5; Zarf DL; A5-R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Ortam boyutları, özel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 x 127 mm - 216 x 356 mm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Desteklenen Dosya Biçimi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JPEG; PDF; TIFF; PDF/A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Tarayıcı tipi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ADF; Düz yataklı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Tarama dosyası biçimi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JPG; PDF; PDFA; TIFF </w:t>
            </w:r>
          </w:p>
        </w:tc>
      </w:tr>
      <w:tr w:rsidR="001A1ACB" w:rsidRPr="003F0318" w:rsidTr="003B0161">
        <w:trPr>
          <w:trHeight w:val="696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Tarama çözünürlüğü, optik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300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dpi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değerine kadar (renkli ve siyah, Otomatik Belge Besleyici); En fazla 1200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dpi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(renkli ve siyah, Masaüstü)</w:t>
            </w:r>
          </w:p>
        </w:tc>
      </w:tr>
      <w:tr w:rsidR="001A1ACB" w:rsidRPr="003F0318" w:rsidTr="003B0161">
        <w:trPr>
          <w:trHeight w:val="564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Tarama çözünürlüğü, donanım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En fazla 300 x 300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dpi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(renkli ve siyah, ADF); En fazla 1200 x 1200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dpi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(renkli ve siyah, Masaüstü)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Tarama boyutu (OBB), maksimum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 x 356 mm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Tarama boyutu (ADF), minimum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x 210 mm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Tarama boyutu, maksimum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 x 297 mm</w:t>
            </w:r>
          </w:p>
        </w:tc>
      </w:tr>
      <w:tr w:rsidR="001A1ACB" w:rsidRPr="003F0318" w:rsidTr="003B0161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Tarama hızı (normal, A4)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Dakikada maksimum 19 (siyah) ve 8 (renkli) sayfa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</w:tr>
      <w:tr w:rsidR="001A1ACB" w:rsidRPr="003F0318" w:rsidTr="003B0161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Tarama hızı (normal,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letter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ppm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b&amp;w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9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ppm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(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color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Otomatik belge besleyici kapasitesi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Standart, 50 yaprak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Çift taraflı ADF tarama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Yok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Tarama teknolojisi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Temaslı Görüntü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Sensörü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(CIS)</w:t>
            </w:r>
          </w:p>
        </w:tc>
      </w:tr>
      <w:tr w:rsidR="001A1ACB" w:rsidRPr="003F0318" w:rsidTr="003B0161">
        <w:trPr>
          <w:trHeight w:val="774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Siyah Kopyalama Hızı (maksimum, A4)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CE57FF" w:rsidP="00BA683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tgtFrame="_self" w:history="1"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7 7 İlk Kopya Çıkışı ve Tek Taraflı Kopyalama Hızı ISO/IEC 29183, Çift Taraflı Kopyalama Hızı ISO/IEC 24735 kullanılarak ölçülmüştür; ilk test belgeleri grubu ölçüme </w:t>
              </w:r>
              <w:proofErr w:type="gramStart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>dahil</w:t>
              </w:r>
              <w:proofErr w:type="gramEnd"/>
              <w:r w:rsidR="001A1ACB" w:rsidRPr="003F031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değildir.</w:t>
              </w:r>
            </w:hyperlink>
            <w:r w:rsidR="001A1ACB" w:rsidRPr="003F0318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Kopyalama hızı (siyah, normal kalite, A4)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Dakikada 25 kopyaya kadar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Kopyalama hızı (renkli, normal kaliteli, A4)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Dakikada 25 kopyaya kadar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Kopya çözünürlüğü (siyah metin)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600 x 600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dpi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değerine kadar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Kopya Çözünürlüğü (renkli metin ve grafikler)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600 x 600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dpi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değerine kadar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Kopya sayısı, maksimum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999 kopyaya kadar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Fotokopi küçültme / büyütme ayarları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%25-400</w:t>
            </w:r>
          </w:p>
        </w:tc>
      </w:tr>
      <w:tr w:rsidR="001A1ACB" w:rsidRPr="003F0318" w:rsidTr="003B0161">
        <w:trPr>
          <w:trHeight w:val="1079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Kopyalama ayarları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Renkli; Kimlik Kopyası; Kopya Sayısı; Daha Açık/Daha Koyu; Orijinal Boyut; </w:t>
            </w:r>
            <w:proofErr w:type="gram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Kağıt</w:t>
            </w:r>
            <w:proofErr w:type="gram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Boyutu; Kağıt türü; Çift taraflı kopyalama; Kağıt Kaynağı; Çift Taraflı; N yukarı; Cilt Kenar Boşluğu; Kitapçık</w:t>
            </w:r>
          </w:p>
        </w:tc>
      </w:tr>
      <w:tr w:rsidR="001A1ACB" w:rsidRPr="003F0318" w:rsidTr="003B0161">
        <w:trPr>
          <w:trHeight w:val="1301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Güç tüketimi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416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watt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(baskı), 7,6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watt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(hazır), 0,95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watt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(uyku), 0,05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watt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(otomatik kapanma), 0,05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watt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(elle kapatma)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 </w:t>
            </w:r>
            <w:r w:rsidRPr="003F0318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Güç gereksinimleri yazıcının satıldığı ülkeye/bölgeye bağlıdır. Çalışma voltajlarını dönüştürmeyin. Voltajı dönüştürmeniz yazıcının hasar görmesine neden olur ve garantiyi geçersiz kılar. 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Energy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Star değeri tipik olarak 115 V cihaz ölçümlerine dayanmaktadır.)</w:t>
            </w:r>
          </w:p>
        </w:tc>
      </w:tr>
      <w:tr w:rsidR="001A1ACB" w:rsidRPr="003F0318" w:rsidTr="003C6779">
        <w:trPr>
          <w:trHeight w:val="1297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Güç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220 volt giriş voltajı: 50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Hz'de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 Hz ± 60 Hz ± 3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Hz'de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220 – 240 V (±%10) 110 volt giriş voltajı: 110 – 127 V (±%10) 50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Hz'de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± 3 Hz, 60 Hz ± 3 Hz (Çift voltaj değil, ürün Seçenek kodu tanımlayıcı numarası içeren parça numarasına göre değişiklik gösterir)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Çalıştırma nem aralığı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%10 - 80 Bağıl Nem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Çalıştırma nem aralığı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%30 - 70 Bağıl Nem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Çalışma ısısı aralığı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15 - 30°C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Çalışma ısısı aralığı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59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86°F</w:t>
            </w:r>
          </w:p>
        </w:tc>
      </w:tr>
      <w:tr w:rsidR="001A1ACB" w:rsidRPr="003F0318" w:rsidTr="003B0161">
        <w:trPr>
          <w:trHeight w:val="9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Blue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Angel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uyumlu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Hayır, lütfen ECI (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Ecolabel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Karşılaştırma Bilgileri) belgesine bakın </w:t>
            </w:r>
          </w:p>
        </w:tc>
      </w:tr>
      <w:tr w:rsidR="001A1ACB" w:rsidRPr="003F0318" w:rsidTr="003B0161">
        <w:trPr>
          <w:trHeight w:val="1362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Genel elektrik tüketimi (TEC) numarası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0,338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kWh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/hafta (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Energy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Star)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 </w:t>
            </w:r>
            <w:r w:rsidRPr="003F0318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Güç gereksinimleri yazıcının satıldığı ülkeye/bölgeye bağlıdır. Çalışma voltajlarını dönüştürmeyin. Voltajı dönüştürmeniz yazıcının hasar görmesine neden olur ve garantiyi geçersiz kılar. 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Energy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Star değeri tipik olarak 115 V cihaz ölçümlerine dayanmaktadır.)</w:t>
            </w:r>
          </w:p>
        </w:tc>
      </w:tr>
      <w:tr w:rsidR="001A1ACB" w:rsidRPr="003F0318" w:rsidTr="003B0161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Enerji tasarrufu sağlayan teknoloji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Açılma/Otomatik Kapanma Teknolojisi</w:t>
            </w:r>
          </w:p>
        </w:tc>
      </w:tr>
      <w:tr w:rsidR="001A1ACB" w:rsidRPr="003F0318" w:rsidTr="003B016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Energy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star</w:t>
            </w:r>
            <w:proofErr w:type="gram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sertifikalı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Yok</w:t>
            </w:r>
          </w:p>
        </w:tc>
      </w:tr>
      <w:tr w:rsidR="001A1ACB" w:rsidRPr="003F0318" w:rsidTr="003B0161">
        <w:trPr>
          <w:trHeight w:val="2741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Emniyet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IEC 60950-1:2005 +A1:2009 +A2:2013; IEC 62368-1:2014; EN 62368-1:2014 +A11:2017; IEC 62368-1:2018; EN IEC 62368-1:2020 +A11:2020; EN 60825-1:2014+A11:2021; IEC 60825-1:2014; EN 62479:2010; IEC 62479:2010; CSA C22.2 62368-1:19 3rd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 CSA C22.2 62368-1-14 2. Sürüm; UL62368-1 2. Sürüm; UL62368-1 3. Sürüm; IEC 60825-1 Ed.3. ile uyumluluk dışında, 8 Mayıs 2019 tarihli Lazer Bildirimi No. 56'da açıklandığı gibi lazer ürünleri için FDA performans standartlarına uygundur; Her ülke tarafından gerekli görülen diğer güvenlik onayları</w:t>
            </w:r>
            <w:proofErr w:type="gramEnd"/>
          </w:p>
        </w:tc>
      </w:tr>
      <w:tr w:rsidR="001A1ACB" w:rsidRPr="003F0318" w:rsidTr="003B0161">
        <w:trPr>
          <w:trHeight w:val="1243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Güvenlik yönetimi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Benzersiz Yönetici Parolası; USB Etkinleştirme/Devre Dışı Bırakma; EWS Oturum Zaman Aşımı; Kontrol Paneli Hareketsizlik Zaman Aşımı; Rol Tabanlı Erişim Denetimi;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WebScan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varsayılan olarak devre dışıdır.</w:t>
            </w:r>
          </w:p>
        </w:tc>
      </w:tr>
      <w:tr w:rsidR="001A1ACB" w:rsidRPr="003F0318" w:rsidTr="003B0161">
        <w:trPr>
          <w:trHeight w:val="693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Minimum boyutlar (G x D x Y)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418 x 419,12 x 341,32 mm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 </w:t>
            </w:r>
            <w:r w:rsidRPr="003F0318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Yazıcı ayarlandığında ve bekleme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modundayken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Uçtan Uca Boyutlar)</w:t>
            </w:r>
          </w:p>
        </w:tc>
      </w:tr>
      <w:tr w:rsidR="001A1ACB" w:rsidRPr="003F0318" w:rsidTr="003B0161">
        <w:trPr>
          <w:trHeight w:val="79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Maksimum boyutlar (G x D x Y)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 x 472 x 455 mm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 </w:t>
            </w:r>
            <w:r w:rsidRPr="003F0318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Yazıcı ayarlandığında ve bekleme </w:t>
            </w:r>
            <w:proofErr w:type="spellStart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modundayken</w:t>
            </w:r>
            <w:proofErr w:type="spellEnd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Uçtan Uca Boyutlar)</w:t>
            </w:r>
          </w:p>
        </w:tc>
      </w:tr>
      <w:tr w:rsidR="001A1ACB" w:rsidRPr="003F0318" w:rsidTr="003B0161">
        <w:trPr>
          <w:trHeight w:val="55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Ağırlık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Yaklaşık 17,1 kg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 </w:t>
            </w:r>
            <w:r w:rsidRPr="003F0318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</w:t>
            </w:r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Başlangıç sarf malzemeleri </w:t>
            </w:r>
            <w:proofErr w:type="gramStart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dahil</w:t>
            </w:r>
            <w:proofErr w:type="gramEnd"/>
            <w:r w:rsidRPr="003F03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ürün ağırlığı)</w:t>
            </w:r>
          </w:p>
        </w:tc>
      </w:tr>
      <w:tr w:rsidR="001A1ACB" w:rsidRPr="003F0318" w:rsidTr="003B0161">
        <w:trPr>
          <w:trHeight w:val="582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Kutunun içeriği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Güç kablosu; Toner; Kullanım Kılavuzu; Broşürler; 1 USB kablosu </w:t>
            </w:r>
            <w:r w:rsidRPr="003F0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1A1ACB" w:rsidRPr="003F0318" w:rsidTr="003B0161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Baskı Kartuşu/Şişesi Sayısı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4F4F4"/>
            <w:vAlign w:val="center"/>
            <w:hideMark/>
          </w:tcPr>
          <w:p w:rsidR="001A1ACB" w:rsidRPr="003F0318" w:rsidRDefault="001A1ACB" w:rsidP="00BA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03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(birer tane siyah, mavi, kırmızı, sarı)</w:t>
            </w:r>
          </w:p>
        </w:tc>
      </w:tr>
    </w:tbl>
    <w:p w:rsidR="009E1443" w:rsidRDefault="009E1443" w:rsidP="001A1ACB">
      <w:pPr>
        <w:rPr>
          <w:b/>
          <w:sz w:val="24"/>
        </w:rPr>
      </w:pPr>
      <w:r>
        <w:rPr>
          <w:b/>
          <w:sz w:val="24"/>
        </w:rPr>
        <w:t>KABLOSUZ MOUSE:</w:t>
      </w:r>
    </w:p>
    <w:p w:rsidR="007A70FF" w:rsidRDefault="009E1443" w:rsidP="001A1ACB">
      <w:r>
        <w:t xml:space="preserve">- Bağlantı Türü: 2,4 </w:t>
      </w:r>
      <w:proofErr w:type="spellStart"/>
      <w:r>
        <w:t>Ghz</w:t>
      </w:r>
      <w:proofErr w:type="spellEnd"/>
      <w:r>
        <w:t xml:space="preserve"> Kablosuz Bağlantı - Kablosuz Aralık: 10 Metre - Bağlantı / Güç: Evet, Açma/Kapama Düğmesi - Pil Bilgileri: 1 </w:t>
      </w:r>
      <w:proofErr w:type="spellStart"/>
      <w:r>
        <w:t>Aa</w:t>
      </w:r>
      <w:proofErr w:type="spellEnd"/>
      <w:r>
        <w:t xml:space="preserve"> - </w:t>
      </w:r>
      <w:proofErr w:type="spellStart"/>
      <w:r>
        <w:t>Dpı</w:t>
      </w:r>
      <w:proofErr w:type="spellEnd"/>
      <w:r>
        <w:t xml:space="preserve"> (</w:t>
      </w:r>
      <w:proofErr w:type="spellStart"/>
      <w:r>
        <w:t>Min</w:t>
      </w:r>
      <w:proofErr w:type="spellEnd"/>
      <w:r>
        <w:t>/</w:t>
      </w:r>
      <w:proofErr w:type="spellStart"/>
      <w:r>
        <w:t>Maks</w:t>
      </w:r>
      <w:proofErr w:type="spellEnd"/>
      <w:r>
        <w:t xml:space="preserve">): 1.000 ± - Algılayıcı Teknolojisi: Evet, 2 Boyutlu, Mekanik - Algılayıcı Çözünürlüğü: 1.000 </w:t>
      </w:r>
      <w:proofErr w:type="spellStart"/>
      <w:r>
        <w:t>Dpi</w:t>
      </w:r>
      <w:proofErr w:type="spellEnd"/>
      <w:r>
        <w:t xml:space="preserve"> - Kaydırma Tekerleği: Evet - Tuş Sayısı: 3 - Standart Ve Özel Tuşlar: Orta Tıklatma</w:t>
      </w:r>
    </w:p>
    <w:p w:rsidR="009E1443" w:rsidRDefault="009E1443" w:rsidP="001A1ACB">
      <w:pPr>
        <w:rPr>
          <w:b/>
          <w:sz w:val="24"/>
        </w:rPr>
      </w:pPr>
      <w:r w:rsidRPr="009E1443">
        <w:rPr>
          <w:b/>
          <w:sz w:val="24"/>
        </w:rPr>
        <w:t>KABLOLU MOUSE</w:t>
      </w:r>
      <w:r>
        <w:rPr>
          <w:b/>
          <w:sz w:val="24"/>
        </w:rPr>
        <w:t>:</w:t>
      </w:r>
    </w:p>
    <w:p w:rsidR="007A70FF" w:rsidRDefault="009E1443" w:rsidP="001A1ACB">
      <w:r>
        <w:t xml:space="preserve">En az 3 butonlu, bir kaydırma tekerlekli ve optik olmalıdır. Optik </w:t>
      </w:r>
      <w:proofErr w:type="gramStart"/>
      <w:r>
        <w:t>sensor</w:t>
      </w:r>
      <w:proofErr w:type="gramEnd"/>
      <w:r>
        <w:t xml:space="preserve"> tüm yüzeylerde çalışmalıdır. Kablo uzunluğu en az 1,5 m olmalıdır. USB portundan bağlanmalıdır. Yazılımsız kolay kurulmalıdır.</w:t>
      </w:r>
    </w:p>
    <w:p w:rsidR="009E1443" w:rsidRDefault="009E1443" w:rsidP="001A1ACB">
      <w:pPr>
        <w:rPr>
          <w:sz w:val="24"/>
        </w:rPr>
      </w:pPr>
      <w:r w:rsidRPr="009E1443">
        <w:rPr>
          <w:b/>
          <w:sz w:val="24"/>
        </w:rPr>
        <w:t>KABLOLU KLAVYE MOUSE SET</w:t>
      </w:r>
      <w:r w:rsidRPr="009E1443">
        <w:rPr>
          <w:sz w:val="24"/>
        </w:rPr>
        <w:t xml:space="preserve"> </w:t>
      </w:r>
    </w:p>
    <w:p w:rsidR="009E1443" w:rsidRPr="007A70FF" w:rsidRDefault="009E1443" w:rsidP="001A1ACB">
      <w:pPr>
        <w:rPr>
          <w:b/>
          <w:sz w:val="24"/>
        </w:rPr>
      </w:pPr>
      <w:r>
        <w:t xml:space="preserve">En az 2 yıl garantili olmalıdır. Klavye üzerinde fonksiyon tuşları olmalıdır. Klavye üzerinde numerik tuşlar olmalıdır. Dili Türkçe Q klavye olmalıdır. Bağlantı tipi USB olmalıdır. Klavye bağlantı türü kablolu olmalıdır. Mouse en az 1000DPI olmalıdır. Mouse kablolu olmalıdır. Mouse tipi optik </w:t>
      </w:r>
      <w:proofErr w:type="spellStart"/>
      <w:r>
        <w:t>maus</w:t>
      </w:r>
      <w:proofErr w:type="spellEnd"/>
      <w:r>
        <w:t xml:space="preserve"> olmalıdır. Mouse 2 tuşlu </w:t>
      </w:r>
      <w:proofErr w:type="spellStart"/>
      <w:r>
        <w:t>scroll-Tilt</w:t>
      </w:r>
      <w:proofErr w:type="spellEnd"/>
      <w:r>
        <w:t xml:space="preserve"> özellikli olmalıdır.</w:t>
      </w: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A1ACB"/>
    <w:rsid w:val="001E6F32"/>
    <w:rsid w:val="002469AE"/>
    <w:rsid w:val="002A1B55"/>
    <w:rsid w:val="002D77E4"/>
    <w:rsid w:val="00315DA7"/>
    <w:rsid w:val="00326D27"/>
    <w:rsid w:val="003307B6"/>
    <w:rsid w:val="003310CD"/>
    <w:rsid w:val="00336273"/>
    <w:rsid w:val="00351C9A"/>
    <w:rsid w:val="00363FE2"/>
    <w:rsid w:val="003917F2"/>
    <w:rsid w:val="003975EA"/>
    <w:rsid w:val="003A1BA4"/>
    <w:rsid w:val="003B0161"/>
    <w:rsid w:val="003B214B"/>
    <w:rsid w:val="003C6779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144C"/>
    <w:rsid w:val="006E7974"/>
    <w:rsid w:val="00725555"/>
    <w:rsid w:val="00745A3F"/>
    <w:rsid w:val="0076134C"/>
    <w:rsid w:val="007714D5"/>
    <w:rsid w:val="007859E5"/>
    <w:rsid w:val="00793E1C"/>
    <w:rsid w:val="007A70FF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32C6E"/>
    <w:rsid w:val="009420EF"/>
    <w:rsid w:val="009953B4"/>
    <w:rsid w:val="009A0347"/>
    <w:rsid w:val="009C3935"/>
    <w:rsid w:val="009E1443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A1924"/>
    <w:rsid w:val="00BF74B7"/>
    <w:rsid w:val="00C14798"/>
    <w:rsid w:val="00C1547C"/>
    <w:rsid w:val="00C8312F"/>
    <w:rsid w:val="00CD6D3E"/>
    <w:rsid w:val="00CE57F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04AF6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A69E"/>
  <w15:docId w15:val="{23153687-E7EE-408B-890E-160DD33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p.com/go/printerclai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p.com/go/printerclai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p.com/go/printerclaim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p.com/go/printerclaims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evelopers.hp.com/hp-linux-imaging-and-printing)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f42fa28-6966-49c7-b587-09809fb4d96a"/>
    <ds:schemaRef ds:uri="60b50726-52a2-44b2-974c-090a28d58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6</cp:revision>
  <cp:lastPrinted>2020-12-16T08:30:00Z</cp:lastPrinted>
  <dcterms:created xsi:type="dcterms:W3CDTF">2026-03-05T07:36:00Z</dcterms:created>
  <dcterms:modified xsi:type="dcterms:W3CDTF">2026-03-06T05:06:00Z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